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05" w:rsidRDefault="003E0105" w:rsidP="00EA47A3">
      <w:pPr>
        <w:jc w:val="center"/>
        <w:rPr>
          <w:sz w:val="28"/>
        </w:rPr>
      </w:pPr>
      <w:proofErr w:type="gramStart"/>
      <w:r w:rsidRPr="003D2CC4">
        <w:rPr>
          <w:sz w:val="28"/>
        </w:rPr>
        <w:t>SHERI SPIRT, M.D.</w:t>
      </w:r>
      <w:proofErr w:type="gramEnd"/>
    </w:p>
    <w:p w:rsidR="003E0105" w:rsidRDefault="003E0105" w:rsidP="00EA47A3">
      <w:pPr>
        <w:jc w:val="center"/>
      </w:pPr>
      <w:r>
        <w:t>PSYCHIATRY</w:t>
      </w:r>
    </w:p>
    <w:p w:rsidR="003E0105" w:rsidRDefault="003E0105" w:rsidP="00EA47A3">
      <w:pPr>
        <w:jc w:val="center"/>
      </w:pPr>
      <w:r>
        <w:t>16 East 96</w:t>
      </w:r>
      <w:r w:rsidRPr="002A6B06">
        <w:rPr>
          <w:vertAlign w:val="superscript"/>
        </w:rPr>
        <w:t>th</w:t>
      </w:r>
      <w:r>
        <w:t xml:space="preserve"> Street Unit 1A</w:t>
      </w:r>
    </w:p>
    <w:p w:rsidR="003E0105" w:rsidRDefault="003E0105" w:rsidP="00EA47A3">
      <w:pPr>
        <w:jc w:val="center"/>
      </w:pPr>
      <w:r>
        <w:t>NEW YORK, N.Y. 10128</w:t>
      </w:r>
    </w:p>
    <w:p w:rsidR="003E0105" w:rsidRDefault="003E0105" w:rsidP="00EA47A3">
      <w:pPr>
        <w:jc w:val="center"/>
      </w:pPr>
      <w:r>
        <w:t>(212) 595-6901</w:t>
      </w:r>
    </w:p>
    <w:p w:rsidR="003E0105" w:rsidRDefault="00A60A51" w:rsidP="00EA47A3">
      <w:pPr>
        <w:jc w:val="center"/>
      </w:pPr>
      <w:hyperlink r:id="rId6" w:history="1">
        <w:r w:rsidR="003E0105" w:rsidRPr="00A83CF6">
          <w:rPr>
            <w:rStyle w:val="Hyperlink"/>
          </w:rPr>
          <w:t>SSDR18@AOL.COM</w:t>
        </w:r>
      </w:hyperlink>
    </w:p>
    <w:p w:rsidR="00070BBB" w:rsidRPr="00070BBB" w:rsidRDefault="00070BBB" w:rsidP="00070BBB">
      <w:pPr>
        <w:rPr>
          <w:b/>
          <w:u w:val="single"/>
        </w:rPr>
      </w:pPr>
    </w:p>
    <w:p w:rsidR="003E0105" w:rsidRDefault="00070BBB" w:rsidP="00070BBB">
      <w:pPr>
        <w:rPr>
          <w:b/>
          <w:u w:val="single"/>
        </w:rPr>
      </w:pPr>
      <w:r w:rsidRPr="00070BBB">
        <w:rPr>
          <w:b/>
          <w:u w:val="single"/>
        </w:rPr>
        <w:t>VYVANSE</w:t>
      </w:r>
    </w:p>
    <w:p w:rsidR="00A60A51" w:rsidRDefault="00A60A51" w:rsidP="00A60A51">
      <w:pPr>
        <w:pStyle w:val="ListParagraph"/>
        <w:numPr>
          <w:ilvl w:val="0"/>
          <w:numId w:val="1"/>
        </w:numPr>
      </w:pPr>
      <w:r w:rsidRPr="00A60A51">
        <w:t>A long acting amphetamine preparation.</w:t>
      </w:r>
    </w:p>
    <w:p w:rsidR="00A60A51" w:rsidRDefault="00A60A51" w:rsidP="00A60A51">
      <w:pPr>
        <w:pStyle w:val="ListParagraph"/>
        <w:numPr>
          <w:ilvl w:val="0"/>
          <w:numId w:val="1"/>
        </w:numPr>
      </w:pPr>
      <w:r>
        <w:t>A prodrug. Needs to be acted on by enzymes to be active.</w:t>
      </w:r>
      <w:r w:rsidRPr="00A60A51">
        <w:t xml:space="preserve"> </w:t>
      </w:r>
    </w:p>
    <w:p w:rsidR="00A60A51" w:rsidRDefault="00A60A51" w:rsidP="00A60A51">
      <w:pPr>
        <w:pStyle w:val="ListParagraph"/>
        <w:numPr>
          <w:ilvl w:val="0"/>
          <w:numId w:val="1"/>
        </w:numPr>
      </w:pPr>
      <w:r>
        <w:t>10-70mg.</w:t>
      </w:r>
    </w:p>
    <w:p w:rsidR="00A60A51" w:rsidRDefault="00A60A51" w:rsidP="00A60A51"/>
    <w:p w:rsidR="00A60A51" w:rsidRDefault="00A60A51" w:rsidP="00A60A51">
      <w:pPr>
        <w:pStyle w:val="Heading2"/>
        <w:rPr>
          <w:rFonts w:eastAsia="Times New Roman" w:cs="Times New Roman"/>
        </w:rPr>
      </w:pPr>
      <w:r>
        <w:rPr>
          <w:rFonts w:eastAsia="Times New Roman" w:cs="Times New Roman"/>
        </w:rPr>
        <w:t>Pharmacology</w:t>
      </w:r>
    </w:p>
    <w:p w:rsidR="00A60A51" w:rsidRDefault="00A60A51" w:rsidP="00A60A51">
      <w:pPr>
        <w:pStyle w:val="Heading3"/>
      </w:pPr>
      <w:r>
        <w:t>Mechanism of Action</w:t>
      </w:r>
    </w:p>
    <w:p w:rsidR="00A60A51" w:rsidRDefault="00A60A51" w:rsidP="00A60A51">
      <w:pPr>
        <w:pStyle w:val="NormalWeb"/>
        <w:spacing w:before="2" w:after="2"/>
        <w:rPr>
          <w:rFonts w:eastAsiaTheme="minorHAnsi"/>
        </w:rPr>
      </w:pPr>
      <w:r>
        <w:t xml:space="preserve">Prodrug of </w:t>
      </w:r>
      <w:proofErr w:type="spellStart"/>
      <w:r>
        <w:t>dextroamphetamine</w:t>
      </w:r>
      <w:proofErr w:type="spellEnd"/>
      <w:r>
        <w:t xml:space="preserve"> </w:t>
      </w:r>
    </w:p>
    <w:p w:rsidR="00A60A51" w:rsidRPr="00A60A51" w:rsidRDefault="00A60A51" w:rsidP="00A60A51">
      <w:pPr>
        <w:pStyle w:val="NormalWeb"/>
        <w:spacing w:before="2" w:after="2"/>
        <w:rPr>
          <w:rFonts w:eastAsiaTheme="minorHAnsi"/>
          <w:u w:val="single"/>
        </w:rPr>
      </w:pPr>
      <w:r>
        <w:t xml:space="preserve">Sympathomimetic amine that promotes release of dopamine and norepinephrine from their storage sites in the presynaptic nerve terminals; may also block reuptake of </w:t>
      </w:r>
      <w:proofErr w:type="spellStart"/>
      <w:r>
        <w:t>catecholamines</w:t>
      </w:r>
      <w:proofErr w:type="spellEnd"/>
      <w:r>
        <w:t xml:space="preserve"> by competitive inhibition </w:t>
      </w:r>
      <w:r w:rsidRPr="00A60A51">
        <w:rPr>
          <w:rFonts w:eastAsia="Times New Roman"/>
          <w:u w:val="single"/>
        </w:rPr>
        <w:t>Absorption</w:t>
      </w:r>
    </w:p>
    <w:p w:rsidR="00A60A51" w:rsidRDefault="00A60A51" w:rsidP="00A60A51">
      <w:pPr>
        <w:pStyle w:val="NormalWeb"/>
        <w:spacing w:before="2" w:after="2"/>
        <w:rPr>
          <w:rFonts w:eastAsiaTheme="minorHAnsi"/>
        </w:rPr>
      </w:pPr>
      <w:r>
        <w:t>Rapid absorption</w:t>
      </w:r>
    </w:p>
    <w:p w:rsidR="00A60A51" w:rsidRDefault="00A60A51" w:rsidP="00A60A51">
      <w:pPr>
        <w:pStyle w:val="NormalWeb"/>
        <w:spacing w:before="2" w:after="2"/>
      </w:pPr>
      <w:r>
        <w:t xml:space="preserve">Peak plasma time: 1 </w:t>
      </w:r>
      <w:proofErr w:type="spellStart"/>
      <w:r>
        <w:t>hr</w:t>
      </w:r>
      <w:proofErr w:type="spellEnd"/>
      <w:r>
        <w:t xml:space="preserve"> (</w:t>
      </w:r>
      <w:proofErr w:type="spellStart"/>
      <w:r>
        <w:t>lisdexamfetamine</w:t>
      </w:r>
      <w:proofErr w:type="spellEnd"/>
      <w:r>
        <w:t xml:space="preserve">); 3.5 </w:t>
      </w:r>
      <w:proofErr w:type="spellStart"/>
      <w:r>
        <w:t>hr</w:t>
      </w:r>
      <w:proofErr w:type="spellEnd"/>
      <w:r>
        <w:t xml:space="preserve"> (</w:t>
      </w:r>
      <w:proofErr w:type="spellStart"/>
      <w:r>
        <w:t>dextroamphetamine</w:t>
      </w:r>
      <w:proofErr w:type="spellEnd"/>
      <w:r>
        <w:t>)</w:t>
      </w:r>
    </w:p>
    <w:p w:rsidR="00A60A51" w:rsidRDefault="00A60A51" w:rsidP="00A60A51">
      <w:pPr>
        <w:pStyle w:val="Heading3"/>
      </w:pPr>
      <w:r>
        <w:t>Distribution</w:t>
      </w:r>
    </w:p>
    <w:p w:rsidR="00A60A51" w:rsidRDefault="00A60A51" w:rsidP="00A60A51">
      <w:pPr>
        <w:pStyle w:val="NormalWeb"/>
        <w:spacing w:before="2" w:after="2"/>
        <w:rPr>
          <w:rFonts w:eastAsiaTheme="minorHAnsi"/>
        </w:rPr>
      </w:pPr>
      <w:proofErr w:type="spellStart"/>
      <w:r>
        <w:t>Vd</w:t>
      </w:r>
      <w:proofErr w:type="spellEnd"/>
      <w:r>
        <w:t>: 3.5-4.6 L/kg; distributes into CNS</w:t>
      </w:r>
    </w:p>
    <w:p w:rsidR="00A60A51" w:rsidRDefault="00A60A51" w:rsidP="00A60A51">
      <w:pPr>
        <w:pStyle w:val="Heading3"/>
      </w:pPr>
      <w:r>
        <w:t>Elimination</w:t>
      </w:r>
    </w:p>
    <w:p w:rsidR="00A60A51" w:rsidRDefault="00A60A51" w:rsidP="00A60A51">
      <w:pPr>
        <w:pStyle w:val="NormalWeb"/>
        <w:spacing w:before="2" w:after="2"/>
        <w:rPr>
          <w:rFonts w:eastAsiaTheme="minorHAnsi"/>
        </w:rPr>
      </w:pPr>
      <w:r>
        <w:t xml:space="preserve">Half-life elimination: 10-13 </w:t>
      </w:r>
      <w:proofErr w:type="spellStart"/>
      <w:r>
        <w:t>hr</w:t>
      </w:r>
      <w:proofErr w:type="spellEnd"/>
      <w:r>
        <w:t xml:space="preserve"> (</w:t>
      </w:r>
      <w:proofErr w:type="spellStart"/>
      <w:r>
        <w:t>dextroamphetamine</w:t>
      </w:r>
      <w:proofErr w:type="spellEnd"/>
      <w:r>
        <w:t>); &lt; 1hr (</w:t>
      </w:r>
      <w:proofErr w:type="spellStart"/>
      <w:r>
        <w:t>lisdexamphetamine</w:t>
      </w:r>
      <w:proofErr w:type="spellEnd"/>
      <w:r>
        <w:t>)</w:t>
      </w:r>
    </w:p>
    <w:p w:rsidR="00A60A51" w:rsidRDefault="00A60A51" w:rsidP="00A60A51">
      <w:pPr>
        <w:pStyle w:val="NormalWeb"/>
        <w:spacing w:before="2" w:after="2"/>
      </w:pPr>
      <w:r>
        <w:t>Excretion: Urine (96%), feces (minimal)</w:t>
      </w:r>
    </w:p>
    <w:p w:rsidR="00A60A51" w:rsidRDefault="00A60A51" w:rsidP="00A60A51">
      <w:pPr>
        <w:rPr>
          <w:u w:val="single"/>
        </w:rPr>
      </w:pPr>
    </w:p>
    <w:p w:rsidR="00A60A51" w:rsidRPr="00A60A51" w:rsidRDefault="00A60A51" w:rsidP="00A60A51">
      <w:pPr>
        <w:rPr>
          <w:u w:val="single"/>
        </w:rPr>
      </w:pPr>
      <w:r w:rsidRPr="00A60A51">
        <w:rPr>
          <w:u w:val="single"/>
        </w:rPr>
        <w:t>INDICATIONS</w:t>
      </w:r>
    </w:p>
    <w:p w:rsidR="00A60A51" w:rsidRPr="00A60A51" w:rsidRDefault="00A60A51" w:rsidP="00A60A51">
      <w:pPr>
        <w:spacing w:before="100" w:beforeAutospacing="1" w:after="100" w:afterAutospacing="1"/>
        <w:outlineLvl w:val="2"/>
        <w:rPr>
          <w:rFonts w:ascii="Times" w:eastAsia="Times New Roman" w:hAnsi="Times" w:cs="Times New Roman"/>
          <w:b/>
          <w:bCs/>
          <w:sz w:val="27"/>
          <w:szCs w:val="27"/>
        </w:rPr>
      </w:pPr>
      <w:r w:rsidRPr="00A60A51">
        <w:rPr>
          <w:rFonts w:ascii="Times" w:eastAsia="Times New Roman" w:hAnsi="Times" w:cs="Times New Roman"/>
          <w:b/>
          <w:bCs/>
          <w:sz w:val="27"/>
          <w:szCs w:val="27"/>
        </w:rPr>
        <w:t>Attention Deficit Hyperactivity Disorder</w:t>
      </w:r>
    </w:p>
    <w:p w:rsidR="00A60A51" w:rsidRPr="00A60A51" w:rsidRDefault="00A60A51" w:rsidP="00A60A51">
      <w:pPr>
        <w:spacing w:before="100" w:beforeAutospacing="1" w:after="100" w:afterAutospacing="1"/>
        <w:rPr>
          <w:rFonts w:ascii="Times" w:hAnsi="Times" w:cs="Times New Roman"/>
          <w:sz w:val="20"/>
          <w:szCs w:val="20"/>
        </w:rPr>
      </w:pPr>
      <w:r w:rsidRPr="00A60A51">
        <w:rPr>
          <w:rFonts w:ascii="Times" w:eastAsia="Times New Roman" w:hAnsi="Times" w:cs="Times New Roman"/>
          <w:sz w:val="20"/>
          <w:szCs w:val="20"/>
        </w:rPr>
        <w:t xml:space="preserve">Starting/switching treatment: 30 mg PO </w:t>
      </w:r>
      <w:proofErr w:type="spellStart"/>
      <w:r w:rsidRPr="00A60A51">
        <w:rPr>
          <w:rFonts w:ascii="Times" w:eastAsia="Times New Roman" w:hAnsi="Times" w:cs="Times New Roman"/>
          <w:sz w:val="20"/>
          <w:szCs w:val="20"/>
        </w:rPr>
        <w:t>qAM</w:t>
      </w:r>
      <w:proofErr w:type="spellEnd"/>
    </w:p>
    <w:p w:rsidR="00A60A51" w:rsidRPr="00A60A51" w:rsidRDefault="00A60A51" w:rsidP="00A60A51">
      <w:pPr>
        <w:spacing w:before="100" w:beforeAutospacing="1" w:after="100" w:afterAutospacing="1"/>
        <w:rPr>
          <w:rFonts w:ascii="Times" w:eastAsia="Times New Roman" w:hAnsi="Times" w:cs="Times New Roman"/>
          <w:sz w:val="20"/>
          <w:szCs w:val="20"/>
        </w:rPr>
      </w:pPr>
      <w:r w:rsidRPr="00A60A51">
        <w:rPr>
          <w:rFonts w:ascii="Times" w:eastAsia="Times New Roman" w:hAnsi="Times" w:cs="Times New Roman"/>
          <w:sz w:val="20"/>
          <w:szCs w:val="20"/>
        </w:rPr>
        <w:t xml:space="preserve">Dose adjustment: Increase by 10- to 20-mg/day increments approximately </w:t>
      </w:r>
      <w:proofErr w:type="spellStart"/>
      <w:r w:rsidRPr="00A60A51">
        <w:rPr>
          <w:rFonts w:ascii="Times" w:eastAsia="Times New Roman" w:hAnsi="Times" w:cs="Times New Roman"/>
          <w:sz w:val="20"/>
          <w:szCs w:val="20"/>
        </w:rPr>
        <w:t>qWeek</w:t>
      </w:r>
      <w:proofErr w:type="spellEnd"/>
    </w:p>
    <w:p w:rsidR="00A60A51" w:rsidRPr="00A60A51" w:rsidRDefault="00A60A51" w:rsidP="00A60A51">
      <w:pPr>
        <w:spacing w:before="100" w:beforeAutospacing="1" w:after="100" w:afterAutospacing="1"/>
        <w:rPr>
          <w:rFonts w:ascii="Times" w:eastAsia="Times New Roman" w:hAnsi="Times" w:cs="Times New Roman"/>
          <w:sz w:val="20"/>
          <w:szCs w:val="20"/>
        </w:rPr>
      </w:pPr>
      <w:r w:rsidRPr="00A60A51">
        <w:rPr>
          <w:rFonts w:ascii="Times" w:eastAsia="Times New Roman" w:hAnsi="Times" w:cs="Times New Roman"/>
          <w:sz w:val="20"/>
          <w:szCs w:val="20"/>
        </w:rPr>
        <w:t xml:space="preserve">Not to exceed 70 mg </w:t>
      </w:r>
      <w:proofErr w:type="spellStart"/>
      <w:r w:rsidRPr="00A60A51">
        <w:rPr>
          <w:rFonts w:ascii="Times" w:eastAsia="Times New Roman" w:hAnsi="Times" w:cs="Times New Roman"/>
          <w:sz w:val="20"/>
          <w:szCs w:val="20"/>
        </w:rPr>
        <w:t>qDay</w:t>
      </w:r>
      <w:proofErr w:type="spellEnd"/>
    </w:p>
    <w:p w:rsidR="00A60A51" w:rsidRPr="00A60A51" w:rsidRDefault="00A60A51" w:rsidP="00A60A51">
      <w:pPr>
        <w:spacing w:before="100" w:beforeAutospacing="1" w:after="100" w:afterAutospacing="1"/>
        <w:outlineLvl w:val="2"/>
        <w:rPr>
          <w:rFonts w:ascii="Times" w:eastAsia="Times New Roman" w:hAnsi="Times" w:cs="Times New Roman"/>
          <w:b/>
          <w:bCs/>
          <w:sz w:val="27"/>
          <w:szCs w:val="27"/>
        </w:rPr>
      </w:pPr>
      <w:r w:rsidRPr="00A60A51">
        <w:rPr>
          <w:rFonts w:ascii="Times" w:eastAsia="Times New Roman" w:hAnsi="Times" w:cs="Times New Roman"/>
          <w:b/>
          <w:bCs/>
          <w:sz w:val="27"/>
          <w:szCs w:val="27"/>
        </w:rPr>
        <w:t>Binge Eating Disorder</w:t>
      </w:r>
    </w:p>
    <w:p w:rsidR="00A60A51" w:rsidRPr="00A60A51" w:rsidRDefault="00A60A51" w:rsidP="00A60A51">
      <w:pPr>
        <w:spacing w:before="100" w:beforeAutospacing="1" w:after="100" w:afterAutospacing="1"/>
        <w:rPr>
          <w:rFonts w:ascii="Times" w:hAnsi="Times" w:cs="Times New Roman"/>
          <w:sz w:val="20"/>
          <w:szCs w:val="20"/>
        </w:rPr>
      </w:pPr>
      <w:r w:rsidRPr="00A60A51">
        <w:rPr>
          <w:rFonts w:ascii="Times" w:eastAsia="Times New Roman" w:hAnsi="Times" w:cs="Times New Roman"/>
          <w:sz w:val="20"/>
          <w:szCs w:val="20"/>
        </w:rPr>
        <w:t>Indicated for moderate-to-severe binge eating disorder (BED) in adults</w:t>
      </w:r>
    </w:p>
    <w:p w:rsidR="00A60A51" w:rsidRPr="00A60A51" w:rsidRDefault="00A60A51" w:rsidP="00A60A51">
      <w:pPr>
        <w:spacing w:before="100" w:beforeAutospacing="1" w:after="100" w:afterAutospacing="1"/>
        <w:rPr>
          <w:rFonts w:ascii="Times" w:eastAsia="Times New Roman" w:hAnsi="Times" w:cs="Times New Roman"/>
          <w:sz w:val="20"/>
          <w:szCs w:val="20"/>
        </w:rPr>
      </w:pPr>
      <w:r w:rsidRPr="00A60A51">
        <w:rPr>
          <w:rFonts w:ascii="Times" w:eastAsia="Times New Roman" w:hAnsi="Times" w:cs="Times New Roman"/>
          <w:sz w:val="20"/>
          <w:szCs w:val="20"/>
        </w:rPr>
        <w:lastRenderedPageBreak/>
        <w:t>Starting dose: 30 mg/day PO, THEN</w:t>
      </w:r>
    </w:p>
    <w:p w:rsidR="00A60A51" w:rsidRPr="00A60A51" w:rsidRDefault="00A60A51" w:rsidP="00A60A51">
      <w:pPr>
        <w:spacing w:before="100" w:beforeAutospacing="1" w:after="100" w:afterAutospacing="1"/>
        <w:rPr>
          <w:rFonts w:ascii="Times" w:eastAsia="Times New Roman" w:hAnsi="Times" w:cs="Times New Roman"/>
          <w:sz w:val="20"/>
          <w:szCs w:val="20"/>
        </w:rPr>
      </w:pPr>
      <w:r w:rsidRPr="00A60A51">
        <w:rPr>
          <w:rFonts w:ascii="Times" w:eastAsia="Times New Roman" w:hAnsi="Times" w:cs="Times New Roman"/>
          <w:sz w:val="20"/>
          <w:szCs w:val="20"/>
        </w:rPr>
        <w:t>Target dose: Titrate in increments of 20 mg at ~</w:t>
      </w:r>
      <w:proofErr w:type="gramStart"/>
      <w:r w:rsidRPr="00A60A51">
        <w:rPr>
          <w:rFonts w:ascii="Times" w:eastAsia="Times New Roman" w:hAnsi="Times" w:cs="Times New Roman"/>
          <w:sz w:val="20"/>
          <w:szCs w:val="20"/>
        </w:rPr>
        <w:t>1 week</w:t>
      </w:r>
      <w:proofErr w:type="gramEnd"/>
      <w:r w:rsidRPr="00A60A51">
        <w:rPr>
          <w:rFonts w:ascii="Times" w:eastAsia="Times New Roman" w:hAnsi="Times" w:cs="Times New Roman"/>
          <w:sz w:val="20"/>
          <w:szCs w:val="20"/>
        </w:rPr>
        <w:t xml:space="preserve"> intervals to achieve the recommended target dose of 50-70 mg/day</w:t>
      </w:r>
    </w:p>
    <w:p w:rsidR="00A60A51" w:rsidRPr="00A60A51" w:rsidRDefault="00A60A51" w:rsidP="00A60A51">
      <w:pPr>
        <w:spacing w:before="100" w:beforeAutospacing="1" w:after="100" w:afterAutospacing="1"/>
        <w:rPr>
          <w:rFonts w:ascii="Times" w:eastAsia="Times New Roman" w:hAnsi="Times" w:cs="Times New Roman"/>
          <w:sz w:val="20"/>
          <w:szCs w:val="20"/>
        </w:rPr>
      </w:pPr>
      <w:r w:rsidRPr="00A60A51">
        <w:rPr>
          <w:rFonts w:ascii="Times" w:eastAsia="Times New Roman" w:hAnsi="Times" w:cs="Times New Roman"/>
          <w:sz w:val="20"/>
          <w:szCs w:val="20"/>
        </w:rPr>
        <w:t xml:space="preserve">Not to exceed 70 mg/day </w:t>
      </w:r>
    </w:p>
    <w:p w:rsidR="00A60A51" w:rsidRDefault="00A60A51" w:rsidP="00A60A51">
      <w:pPr>
        <w:spacing w:before="100" w:beforeAutospacing="1" w:after="100" w:afterAutospacing="1"/>
        <w:rPr>
          <w:rFonts w:ascii="Times" w:eastAsia="Times New Roman" w:hAnsi="Times" w:cs="Times New Roman"/>
          <w:sz w:val="20"/>
          <w:szCs w:val="20"/>
        </w:rPr>
      </w:pPr>
      <w:r w:rsidRPr="00A60A51">
        <w:rPr>
          <w:rFonts w:ascii="Times" w:eastAsia="Times New Roman" w:hAnsi="Times" w:cs="Times New Roman"/>
          <w:sz w:val="20"/>
          <w:szCs w:val="20"/>
        </w:rPr>
        <w:t>Discontinue if BED does not improve</w:t>
      </w:r>
    </w:p>
    <w:p w:rsidR="00A60A51" w:rsidRDefault="00A60A51" w:rsidP="00A60A51">
      <w:pPr>
        <w:pStyle w:val="Heading3"/>
      </w:pPr>
      <w:r>
        <w:t>Dosing Considerations</w:t>
      </w:r>
    </w:p>
    <w:p w:rsidR="00A60A51" w:rsidRDefault="00A60A51" w:rsidP="00A60A51">
      <w:pPr>
        <w:pStyle w:val="NormalWeb"/>
        <w:spacing w:before="2" w:after="2"/>
        <w:rPr>
          <w:rFonts w:eastAsiaTheme="minorHAnsi"/>
        </w:rPr>
      </w:pPr>
      <w:r>
        <w:t>Prior to treatment, assess for presence of cardiac disease (</w:t>
      </w:r>
      <w:proofErr w:type="spellStart"/>
      <w:r>
        <w:t>eg</w:t>
      </w:r>
      <w:proofErr w:type="spellEnd"/>
      <w:r>
        <w:t>, a careful history, family history of sudden death or ventricular arrhythmia, and physical exam)</w:t>
      </w:r>
    </w:p>
    <w:p w:rsidR="00A60A51" w:rsidRDefault="00A60A51" w:rsidP="00A60A51">
      <w:pPr>
        <w:pStyle w:val="NormalWeb"/>
        <w:spacing w:before="2" w:after="2"/>
      </w:pPr>
      <w:r>
        <w:t>To reduce the abuse of CNS stimulants, assess abuse risk before prescribing</w:t>
      </w:r>
      <w:proofErr w:type="gramStart"/>
      <w:r>
        <w:t>;</w:t>
      </w:r>
      <w:proofErr w:type="gramEnd"/>
      <w:r>
        <w:t xml:space="preserve"> after prescribing, keep careful prescription records, educate patients about abuse, monitor for signs of abuse and overdose, and reevaluate the need for the drug</w:t>
      </w:r>
    </w:p>
    <w:p w:rsidR="00A60A51" w:rsidRDefault="00A60A51" w:rsidP="00A60A51">
      <w:pPr>
        <w:pStyle w:val="sect2title"/>
        <w:rPr>
          <w:rFonts w:cs="Times New Roman"/>
        </w:rPr>
      </w:pPr>
      <w:r>
        <w:rPr>
          <w:rFonts w:cs="Times New Roman"/>
        </w:rPr>
        <w:t xml:space="preserve">Limitations of use </w:t>
      </w:r>
    </w:p>
    <w:p w:rsidR="00A60A51" w:rsidRDefault="00A60A51" w:rsidP="00A60A51">
      <w:pPr>
        <w:numPr>
          <w:ilvl w:val="0"/>
          <w:numId w:val="2"/>
        </w:numPr>
        <w:spacing w:before="100" w:beforeAutospacing="1" w:after="100" w:afterAutospacing="1"/>
        <w:rPr>
          <w:rFonts w:eastAsia="Times New Roman" w:cs="Times New Roman"/>
        </w:rPr>
      </w:pPr>
      <w:r>
        <w:rPr>
          <w:rFonts w:eastAsia="Times New Roman" w:cs="Times New Roman"/>
        </w:rPr>
        <w:t>Not indicated or recommended for weight loss</w:t>
      </w:r>
    </w:p>
    <w:p w:rsidR="00A60A51" w:rsidRDefault="00A60A51" w:rsidP="00A60A51">
      <w:pPr>
        <w:numPr>
          <w:ilvl w:val="0"/>
          <w:numId w:val="2"/>
        </w:numPr>
        <w:spacing w:before="100" w:beforeAutospacing="1" w:after="100" w:afterAutospacing="1"/>
        <w:rPr>
          <w:rFonts w:eastAsia="Times New Roman" w:cs="Times New Roman"/>
        </w:rPr>
      </w:pPr>
      <w:r>
        <w:rPr>
          <w:rFonts w:eastAsia="Times New Roman" w:cs="Times New Roman"/>
        </w:rPr>
        <w:t>Use of other sympathomimetic drugs for weight loss has been associated with serious cardiovascular adverse events</w:t>
      </w:r>
    </w:p>
    <w:p w:rsidR="00A60A51" w:rsidRDefault="00A60A51" w:rsidP="00A60A51">
      <w:pPr>
        <w:numPr>
          <w:ilvl w:val="0"/>
          <w:numId w:val="2"/>
        </w:numPr>
        <w:spacing w:before="100" w:beforeAutospacing="1" w:after="100" w:afterAutospacing="1"/>
        <w:rPr>
          <w:rFonts w:eastAsia="Times New Roman" w:cs="Times New Roman"/>
        </w:rPr>
      </w:pPr>
      <w:r>
        <w:rPr>
          <w:rFonts w:eastAsia="Times New Roman" w:cs="Times New Roman"/>
        </w:rPr>
        <w:t xml:space="preserve">The safety and effectiveness of </w:t>
      </w:r>
      <w:proofErr w:type="spellStart"/>
      <w:r>
        <w:rPr>
          <w:rFonts w:eastAsia="Times New Roman" w:cs="Times New Roman"/>
        </w:rPr>
        <w:t>lisdexamfetamine</w:t>
      </w:r>
      <w:proofErr w:type="spellEnd"/>
      <w:r>
        <w:rPr>
          <w:rFonts w:eastAsia="Times New Roman" w:cs="Times New Roman"/>
        </w:rPr>
        <w:t xml:space="preserve"> for the treatment of obesity have not been established</w:t>
      </w:r>
    </w:p>
    <w:p w:rsidR="00A60A51" w:rsidRDefault="00A60A51" w:rsidP="00A60A51">
      <w:pPr>
        <w:pStyle w:val="Heading3"/>
      </w:pPr>
      <w:r>
        <w:t>Dosage Modifications</w:t>
      </w:r>
    </w:p>
    <w:p w:rsidR="00A60A51" w:rsidRDefault="00A60A51" w:rsidP="00A60A51">
      <w:pPr>
        <w:pStyle w:val="sect2title"/>
        <w:rPr>
          <w:rFonts w:eastAsiaTheme="minorHAnsi" w:cs="Times New Roman"/>
        </w:rPr>
      </w:pPr>
      <w:r>
        <w:rPr>
          <w:rFonts w:cs="Times New Roman"/>
        </w:rPr>
        <w:t>Renal impairment</w:t>
      </w:r>
    </w:p>
    <w:p w:rsidR="00A60A51" w:rsidRDefault="00A60A51" w:rsidP="00A60A51">
      <w:pPr>
        <w:numPr>
          <w:ilvl w:val="0"/>
          <w:numId w:val="3"/>
        </w:numPr>
        <w:spacing w:before="100" w:beforeAutospacing="1" w:after="100" w:afterAutospacing="1"/>
        <w:rPr>
          <w:rFonts w:eastAsia="Times New Roman" w:cs="Times New Roman"/>
        </w:rPr>
      </w:pPr>
      <w:r>
        <w:rPr>
          <w:rFonts w:eastAsia="Times New Roman" w:cs="Times New Roman"/>
        </w:rPr>
        <w:t>GFR 15 to &lt;30 mL/min/1.73 m²: Not to exceed 50 mg/day</w:t>
      </w:r>
    </w:p>
    <w:p w:rsidR="00A60A51" w:rsidRDefault="00A60A51" w:rsidP="00A60A51">
      <w:pPr>
        <w:numPr>
          <w:ilvl w:val="0"/>
          <w:numId w:val="3"/>
        </w:numPr>
        <w:spacing w:before="100" w:beforeAutospacing="1" w:after="100" w:afterAutospacing="1"/>
        <w:rPr>
          <w:rFonts w:eastAsia="Times New Roman" w:cs="Times New Roman"/>
        </w:rPr>
      </w:pPr>
      <w:r>
        <w:rPr>
          <w:rFonts w:eastAsia="Times New Roman" w:cs="Times New Roman"/>
        </w:rPr>
        <w:t xml:space="preserve">End stage renal disease (GFR &lt;15 mL/min/1.73 m²): Not to exceed 30 mg/day </w:t>
      </w:r>
    </w:p>
    <w:p w:rsidR="00A60A51" w:rsidRDefault="00A60A51" w:rsidP="00A60A51">
      <w:pPr>
        <w:pStyle w:val="sect2title"/>
        <w:rPr>
          <w:rFonts w:eastAsiaTheme="minorHAnsi" w:cs="Times New Roman"/>
        </w:rPr>
      </w:pPr>
      <w:proofErr w:type="spellStart"/>
      <w:r>
        <w:rPr>
          <w:rFonts w:cs="Times New Roman"/>
        </w:rPr>
        <w:t>Coadministration</w:t>
      </w:r>
      <w:proofErr w:type="spellEnd"/>
      <w:r>
        <w:rPr>
          <w:rFonts w:cs="Times New Roman"/>
        </w:rPr>
        <w:t xml:space="preserve"> with drugs that alter urinary pH</w:t>
      </w:r>
    </w:p>
    <w:p w:rsidR="00A60A51" w:rsidRDefault="00A60A51" w:rsidP="00A60A51">
      <w:pPr>
        <w:numPr>
          <w:ilvl w:val="0"/>
          <w:numId w:val="4"/>
        </w:numPr>
        <w:spacing w:before="100" w:beforeAutospacing="1" w:after="100" w:afterAutospacing="1"/>
        <w:rPr>
          <w:rFonts w:eastAsia="Times New Roman" w:cs="Times New Roman"/>
        </w:rPr>
      </w:pPr>
      <w:r>
        <w:rPr>
          <w:rFonts w:eastAsia="Times New Roman" w:cs="Times New Roman"/>
        </w:rPr>
        <w:t>Agents that alter urinary pH can impact urinary excretion and alter blood levels of amphetamine</w:t>
      </w:r>
    </w:p>
    <w:p w:rsidR="00A60A51" w:rsidRDefault="00A60A51" w:rsidP="00A60A51">
      <w:pPr>
        <w:numPr>
          <w:ilvl w:val="0"/>
          <w:numId w:val="4"/>
        </w:numPr>
        <w:spacing w:before="100" w:beforeAutospacing="1" w:after="100" w:afterAutospacing="1"/>
        <w:rPr>
          <w:rFonts w:eastAsia="Times New Roman" w:cs="Times New Roman"/>
        </w:rPr>
      </w:pPr>
      <w:r>
        <w:rPr>
          <w:rFonts w:eastAsia="Times New Roman" w:cs="Times New Roman"/>
        </w:rPr>
        <w:t>Acidifying agents (</w:t>
      </w:r>
      <w:proofErr w:type="spellStart"/>
      <w:r>
        <w:rPr>
          <w:rFonts w:eastAsia="Times New Roman" w:cs="Times New Roman"/>
        </w:rPr>
        <w:t>eg</w:t>
      </w:r>
      <w:proofErr w:type="spellEnd"/>
      <w:r>
        <w:rPr>
          <w:rFonts w:eastAsia="Times New Roman" w:cs="Times New Roman"/>
        </w:rPr>
        <w:t>, ascorbic acid) decrease blood levels, while alkalinizing agents (</w:t>
      </w:r>
      <w:proofErr w:type="spellStart"/>
      <w:r>
        <w:rPr>
          <w:rFonts w:eastAsia="Times New Roman" w:cs="Times New Roman"/>
        </w:rPr>
        <w:t>eg</w:t>
      </w:r>
      <w:proofErr w:type="spellEnd"/>
      <w:r>
        <w:rPr>
          <w:rFonts w:eastAsia="Times New Roman" w:cs="Times New Roman"/>
        </w:rPr>
        <w:t>, sodium bicarbonate) increase blood levels</w:t>
      </w:r>
    </w:p>
    <w:p w:rsidR="00A60A51" w:rsidRDefault="00A60A51" w:rsidP="00A60A51">
      <w:pPr>
        <w:numPr>
          <w:ilvl w:val="0"/>
          <w:numId w:val="4"/>
        </w:numPr>
        <w:spacing w:before="100" w:beforeAutospacing="1" w:after="100" w:afterAutospacing="1"/>
        <w:rPr>
          <w:rFonts w:eastAsia="Times New Roman" w:cs="Times New Roman"/>
        </w:rPr>
      </w:pPr>
      <w:r>
        <w:rPr>
          <w:rFonts w:eastAsia="Times New Roman" w:cs="Times New Roman"/>
        </w:rPr>
        <w:t xml:space="preserve">Adjust </w:t>
      </w:r>
      <w:proofErr w:type="spellStart"/>
      <w:r>
        <w:rPr>
          <w:rFonts w:eastAsia="Times New Roman" w:cs="Times New Roman"/>
        </w:rPr>
        <w:t>lisdexamfetamine</w:t>
      </w:r>
      <w:proofErr w:type="spellEnd"/>
      <w:r>
        <w:rPr>
          <w:rFonts w:eastAsia="Times New Roman" w:cs="Times New Roman"/>
        </w:rPr>
        <w:t xml:space="preserve"> dosage accordingly</w:t>
      </w:r>
    </w:p>
    <w:p w:rsidR="00A60A51" w:rsidRDefault="00A60A51" w:rsidP="00A60A51">
      <w:pPr>
        <w:spacing w:before="100" w:beforeAutospacing="1" w:after="100" w:afterAutospacing="1"/>
        <w:rPr>
          <w:rFonts w:eastAsia="Times New Roman" w:cs="Times New Roman"/>
        </w:rPr>
      </w:pPr>
    </w:p>
    <w:p w:rsidR="00A60A51" w:rsidRDefault="00A60A51" w:rsidP="00A60A51">
      <w:pPr>
        <w:pStyle w:val="Heading2"/>
        <w:rPr>
          <w:rFonts w:eastAsia="Times New Roman" w:cs="Times New Roman"/>
        </w:rPr>
      </w:pPr>
      <w:r>
        <w:rPr>
          <w:rFonts w:eastAsia="Times New Roman" w:cs="Times New Roman"/>
        </w:rPr>
        <w:t>Pregnancy &amp; Lactation</w:t>
      </w:r>
    </w:p>
    <w:p w:rsidR="00A60A51" w:rsidRDefault="00A60A51" w:rsidP="00A60A51">
      <w:pPr>
        <w:pStyle w:val="NormalWeb"/>
        <w:spacing w:before="2" w:after="2"/>
        <w:rPr>
          <w:rFonts w:eastAsiaTheme="minorHAnsi"/>
        </w:rPr>
      </w:pPr>
      <w:r>
        <w:t>Pregnancy category: C</w:t>
      </w:r>
    </w:p>
    <w:p w:rsidR="00A60A51" w:rsidRDefault="00A60A51" w:rsidP="00A60A51">
      <w:pPr>
        <w:pStyle w:val="NormalWeb"/>
        <w:spacing w:before="2" w:after="2"/>
      </w:pPr>
      <w:r>
        <w:t>Lactation: Amphetamines are excreted in breast milk; not recommended</w:t>
      </w:r>
    </w:p>
    <w:p w:rsidR="00A60A51" w:rsidRDefault="00A60A51" w:rsidP="00A60A51">
      <w:pPr>
        <w:spacing w:before="100" w:beforeAutospacing="1" w:after="100" w:afterAutospacing="1"/>
        <w:rPr>
          <w:rFonts w:eastAsia="Times New Roman" w:cs="Times New Roman"/>
        </w:rPr>
      </w:pPr>
    </w:p>
    <w:p w:rsidR="00A60A51" w:rsidRPr="00A60A51" w:rsidRDefault="00A60A51" w:rsidP="00A60A51">
      <w:pPr>
        <w:spacing w:before="100" w:beforeAutospacing="1" w:after="100" w:afterAutospacing="1"/>
        <w:rPr>
          <w:rFonts w:ascii="Times" w:eastAsia="Times New Roman" w:hAnsi="Times" w:cs="Times New Roman"/>
          <w:sz w:val="20"/>
          <w:szCs w:val="20"/>
        </w:rPr>
      </w:pPr>
      <w:bookmarkStart w:id="0" w:name="_GoBack"/>
      <w:bookmarkEnd w:id="0"/>
    </w:p>
    <w:p w:rsidR="003E0105" w:rsidRPr="003E0105" w:rsidRDefault="003E0105" w:rsidP="003E0105">
      <w:pPr>
        <w:rPr>
          <w:rFonts w:ascii="Times" w:hAnsi="Times"/>
          <w:sz w:val="20"/>
          <w:szCs w:val="20"/>
        </w:rPr>
      </w:pPr>
      <w:r w:rsidRPr="00A60A51">
        <w:rPr>
          <w:rFonts w:ascii="Times" w:hAnsi="Times"/>
          <w:b/>
          <w:szCs w:val="20"/>
          <w:u w:val="single"/>
        </w:rPr>
        <w:t>Patient Education</w:t>
      </w:r>
      <w:r w:rsidRPr="00A60A51">
        <w:rPr>
          <w:rFonts w:ascii="Times" w:hAnsi="Times"/>
          <w:b/>
          <w:szCs w:val="20"/>
          <w:u w:val="single"/>
        </w:rPr>
        <w:br/>
      </w:r>
      <w:proofErr w:type="spellStart"/>
      <w:r w:rsidRPr="003E0105">
        <w:rPr>
          <w:rFonts w:ascii="Times" w:hAnsi="Times"/>
          <w:sz w:val="20"/>
          <w:szCs w:val="20"/>
        </w:rPr>
        <w:t>lisdexamfetamine</w:t>
      </w:r>
      <w:proofErr w:type="spellEnd"/>
      <w:r w:rsidRPr="003E0105">
        <w:rPr>
          <w:rFonts w:ascii="Times" w:hAnsi="Times"/>
          <w:sz w:val="20"/>
          <w:szCs w:val="20"/>
        </w:rPr>
        <w:t xml:space="preserve"> oral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IMPORTANT: HOW TO USE THIS INFORMATION: This is a summary and does NOT have all possible information about this product. This information does not assure that this product is safe, effective, or appropriate for you. This information is not individual medical advice and does not substitute for the advice of your health care professional. Always ask your health care professional for complete information about this product and your specific health needs.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LISDEXAMFETAMINE - ORAL</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w:t>
      </w:r>
      <w:proofErr w:type="spellStart"/>
      <w:proofErr w:type="gramStart"/>
      <w:r w:rsidRPr="003E0105">
        <w:rPr>
          <w:rFonts w:ascii="Times" w:hAnsi="Times" w:cs="Times New Roman"/>
          <w:sz w:val="20"/>
          <w:szCs w:val="20"/>
        </w:rPr>
        <w:t>lis</w:t>
      </w:r>
      <w:proofErr w:type="spellEnd"/>
      <w:proofErr w:type="gramEnd"/>
      <w:r w:rsidRPr="003E0105">
        <w:rPr>
          <w:rFonts w:ascii="Times" w:hAnsi="Times" w:cs="Times New Roman"/>
          <w:sz w:val="20"/>
          <w:szCs w:val="20"/>
        </w:rPr>
        <w:t>-DEX-am-FET-a-</w:t>
      </w:r>
      <w:proofErr w:type="spellStart"/>
      <w:r w:rsidRPr="003E0105">
        <w:rPr>
          <w:rFonts w:ascii="Times" w:hAnsi="Times" w:cs="Times New Roman"/>
          <w:sz w:val="20"/>
          <w:szCs w:val="20"/>
        </w:rPr>
        <w:t>meen</w:t>
      </w:r>
      <w:proofErr w:type="spellEnd"/>
      <w:r w:rsidRPr="003E0105">
        <w:rPr>
          <w:rFonts w:ascii="Times" w:hAnsi="Times" w:cs="Times New Roman"/>
          <w:sz w:val="20"/>
          <w:szCs w:val="20"/>
        </w:rPr>
        <w:t>)</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COMMON BRAND </w:t>
      </w:r>
      <w:proofErr w:type="gramStart"/>
      <w:r w:rsidRPr="003E0105">
        <w:rPr>
          <w:rFonts w:ascii="Times" w:hAnsi="Times" w:cs="Times New Roman"/>
          <w:sz w:val="20"/>
          <w:szCs w:val="20"/>
        </w:rPr>
        <w:t>NAME(</w:t>
      </w:r>
      <w:proofErr w:type="gramEnd"/>
      <w:r w:rsidRPr="003E0105">
        <w:rPr>
          <w:rFonts w:ascii="Times" w:hAnsi="Times" w:cs="Times New Roman"/>
          <w:sz w:val="20"/>
          <w:szCs w:val="20"/>
        </w:rPr>
        <w:t>S): Vyvanse</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WARNING: Misuse or abuse of amphetamines may cause serious (possibly fatal) heart and blood pressure problems. Amphetamine-type medications can be habit-forming. Use only as directed. If you use this drug for a long time, you may become dependent on it and may have withdrawal symptoms after stopping the drug. Consult your doctor or pharmacist for more details. (See also How to Use section.)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USES:</w:t>
      </w:r>
      <w:r w:rsidRPr="003E0105">
        <w:rPr>
          <w:rFonts w:ascii="Times" w:hAnsi="Times" w:cs="Times New Roman"/>
          <w:sz w:val="20"/>
          <w:szCs w:val="20"/>
        </w:rPr>
        <w:br/>
      </w:r>
      <w:proofErr w:type="spellStart"/>
      <w:r w:rsidRPr="003E0105">
        <w:rPr>
          <w:rFonts w:ascii="Times" w:hAnsi="Times" w:cs="Times New Roman"/>
          <w:sz w:val="20"/>
          <w:szCs w:val="20"/>
        </w:rPr>
        <w:t>Lisdexamfetamine</w:t>
      </w:r>
      <w:proofErr w:type="spellEnd"/>
      <w:r w:rsidRPr="003E0105">
        <w:rPr>
          <w:rFonts w:ascii="Times" w:hAnsi="Times" w:cs="Times New Roman"/>
          <w:sz w:val="20"/>
          <w:szCs w:val="20"/>
        </w:rPr>
        <w:t xml:space="preserve"> is used to treat attention deficit hyperactivity disorder (ADHD) as part of a total treatment plan, including psychological, social, and other treatments. It may help to increase the ability to pay </w:t>
      </w:r>
      <w:proofErr w:type="gramStart"/>
      <w:r w:rsidRPr="003E0105">
        <w:rPr>
          <w:rFonts w:ascii="Times" w:hAnsi="Times" w:cs="Times New Roman"/>
          <w:sz w:val="20"/>
          <w:szCs w:val="20"/>
        </w:rPr>
        <w:t>attention,</w:t>
      </w:r>
      <w:proofErr w:type="gramEnd"/>
      <w:r w:rsidRPr="003E0105">
        <w:rPr>
          <w:rFonts w:ascii="Times" w:hAnsi="Times" w:cs="Times New Roman"/>
          <w:sz w:val="20"/>
          <w:szCs w:val="20"/>
        </w:rPr>
        <w:t xml:space="preserve"> stay focused, and stop fidgeting. </w:t>
      </w:r>
      <w:proofErr w:type="spellStart"/>
      <w:r w:rsidRPr="003E0105">
        <w:rPr>
          <w:rFonts w:ascii="Times" w:hAnsi="Times" w:cs="Times New Roman"/>
          <w:sz w:val="20"/>
          <w:szCs w:val="20"/>
        </w:rPr>
        <w:t>Lisdexamfetamine</w:t>
      </w:r>
      <w:proofErr w:type="spellEnd"/>
      <w:r w:rsidRPr="003E0105">
        <w:rPr>
          <w:rFonts w:ascii="Times" w:hAnsi="Times" w:cs="Times New Roman"/>
          <w:sz w:val="20"/>
          <w:szCs w:val="20"/>
        </w:rPr>
        <w:t xml:space="preserve"> may also be used to treat binge eating disorder (BED). It may help to reduce the number of binge eating days.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This medication is a stimulant. It is thought to work by restoring the balance of certain natural chemicals (neurotransmitters) in the brain.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This medication is not recommended for use for weight loss due to the risk of serious side effects.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HOW TO USE:</w:t>
      </w:r>
      <w:r w:rsidRPr="003E0105">
        <w:rPr>
          <w:rFonts w:ascii="Times" w:hAnsi="Times" w:cs="Times New Roman"/>
          <w:sz w:val="20"/>
          <w:szCs w:val="20"/>
        </w:rPr>
        <w:br/>
        <w:t xml:space="preserve">Read the Medication Guide provided by your pharmacist before you start taking </w:t>
      </w:r>
      <w:proofErr w:type="spellStart"/>
      <w:r w:rsidRPr="003E0105">
        <w:rPr>
          <w:rFonts w:ascii="Times" w:hAnsi="Times" w:cs="Times New Roman"/>
          <w:sz w:val="20"/>
          <w:szCs w:val="20"/>
        </w:rPr>
        <w:t>lisdexamfetamine</w:t>
      </w:r>
      <w:proofErr w:type="spellEnd"/>
      <w:r w:rsidRPr="003E0105">
        <w:rPr>
          <w:rFonts w:ascii="Times" w:hAnsi="Times" w:cs="Times New Roman"/>
          <w:sz w:val="20"/>
          <w:szCs w:val="20"/>
        </w:rPr>
        <w:t xml:space="preserve"> and each time you get a </w:t>
      </w:r>
      <w:proofErr w:type="gramStart"/>
      <w:r w:rsidRPr="003E0105">
        <w:rPr>
          <w:rFonts w:ascii="Times" w:hAnsi="Times" w:cs="Times New Roman"/>
          <w:sz w:val="20"/>
          <w:szCs w:val="20"/>
        </w:rPr>
        <w:t>refill.</w:t>
      </w:r>
      <w:proofErr w:type="gramEnd"/>
      <w:r w:rsidRPr="003E0105">
        <w:rPr>
          <w:rFonts w:ascii="Times" w:hAnsi="Times" w:cs="Times New Roman"/>
          <w:sz w:val="20"/>
          <w:szCs w:val="20"/>
        </w:rPr>
        <w:t xml:space="preserve"> If you have any questions, ask your doctor or pharmacist.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Take this medication with or without food as directed by your doctor, usually once daily in the morning. Do not take this medication in the afternoon or evening because it may cause you to have trouble sleeping. The dosage is based on your medical condition and response to treatment. Your doctor may adjust your dose to find the dose that is best for you. Follow your doctor's instructions carefully.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This medication may be swallowed whole. However, if you have trouble swallowing the medication, you may open the capsule and pour all of its contents (powder) in a glass of water or orange juice or mix it in yogurt. Use a spoon to break apart any powder that is stuck together. Stir well until the contents dissolve completely. Drink or eat the mixture right away. Do not prepare a supply in advance. It is normal to see a filmy coating on the inside of your glass or container after you drink or eat all of the medicine.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Use this medication regularly to get the most benefit from it. To help you remember, take it at the same time each day.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During treatment, your doctor may occasionally recommend stopping the medication for a short time to see whether there are any changes in your behavior and whether the medication is still needed.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This medication may cause withdrawal reactions, especially if it has been used regularly for a long time or in high doses. In such cases, withdrawal symptoms (including severe tiredness, sleep problems, mental/mood changes such as depression) may occur if you suddenly stop using this medication. To prevent withdrawal reactions, your doctor may reduce your dose gradually. Consult your doctor or pharmacist for more details, and report any withdrawal reactions right away.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Along with its benefits, this medication may rarely cause abnormal drug-seeking behavior (addiction). This risk may be increased if you have abused alcohol or drugs in the past. Take this medication exactly as prescribed to lessen the risk of addiction. Do not increase your dose or use this drug more often or for longer than prescribed. Properly stop this medication when so directed.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When this medication is used for a long time, it may not work as well. Talk with your doctor if this medication stops working well.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Tell your doctor if your condition does not improve or if it worsens.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SIDE EFFECTS:</w:t>
      </w:r>
      <w:r w:rsidRPr="003E0105">
        <w:rPr>
          <w:rFonts w:ascii="Times" w:hAnsi="Times" w:cs="Times New Roman"/>
          <w:sz w:val="20"/>
          <w:szCs w:val="20"/>
        </w:rPr>
        <w:br/>
        <w:t xml:space="preserve">Nausea, vomiting, constipation, stomach/abdominal pain, </w:t>
      </w:r>
      <w:proofErr w:type="gramStart"/>
      <w:r w:rsidRPr="003E0105">
        <w:rPr>
          <w:rFonts w:ascii="Times" w:hAnsi="Times" w:cs="Times New Roman"/>
          <w:sz w:val="20"/>
          <w:szCs w:val="20"/>
        </w:rPr>
        <w:t>loss</w:t>
      </w:r>
      <w:proofErr w:type="gramEnd"/>
      <w:r w:rsidRPr="003E0105">
        <w:rPr>
          <w:rFonts w:ascii="Times" w:hAnsi="Times" w:cs="Times New Roman"/>
          <w:sz w:val="20"/>
          <w:szCs w:val="20"/>
        </w:rPr>
        <w:t xml:space="preserve"> of appetite, dry mouth, headache, nervousness, dizziness, trouble sleeping, sweating, weight loss, irritability, and restlessness may occur. If any of these effects persist or worsen, tell your doctor or pharmacist promptly.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Remember that your doctor has prescribed this medicine because he or she has judged that the benefit to you is greater than the risk of side effects. Many people using this medication do not have serious side effects.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This medication may raise your blood pressure. Check your blood pressure regularly and tell your doctor if the results are high.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Tell your doctor right away if you have any serious side effects, including: blurred vision, fast/pounding/irregular heartbeat, mental/mood/behavior changes (such as agitation, aggression, mood swings, depression, hallucinations, abnormal thoughts/behavior, suicidal thoughts/attempts), uncontrolled movements, muscle twitching/shaking, signs of blood flow problems in the fingers or toes (such as coldness, numbness, pain, or skin color changes), unusual wounds on the fingers or toes, outbursts of words/sounds, change in sexual ability/interest, swelling ankles/feet, extreme tiredness, rapid/unexplained weight loss, frequent/prolonged erections (in males).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Get medical help right away if you have any very serious side effects, including: shortness of breath, fainting, chest/jaw/left arm pain, seizures, weakness on one side of the body, slurred speech, confusion, sudden vision changes.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A very serious allergic reaction to this drug is rare. However, get medical help right away if you notice any symptoms of a serious allergic reaction, including: rash, itching/swelling (especially of the face/tongue/throat), severe dizziness, trouble breathing.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This is not a complete list of possible side effects. If you notice other effects not listed above, contact your doctor or pharmacist.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In the US -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Call your doctor for medical advice about side effects. You may report side effects to FDA at 1-800-FDA-1088 or at www.fda.gov/medwatch.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In Canada - Call your doctor for medical advice about side effects. You may report side effects to Health Canada at 1-866-234-2345.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PRECAUTIONS:</w:t>
      </w:r>
      <w:r w:rsidRPr="003E0105">
        <w:rPr>
          <w:rFonts w:ascii="Times" w:hAnsi="Times" w:cs="Times New Roman"/>
          <w:sz w:val="20"/>
          <w:szCs w:val="20"/>
        </w:rPr>
        <w:br/>
        <w:t xml:space="preserve">Before taking this medication, tell your doctor or pharmacist if you are allergic to it; or to other sympathomimetic drugs (such as amphetamine or </w:t>
      </w:r>
      <w:proofErr w:type="spellStart"/>
      <w:r w:rsidRPr="003E0105">
        <w:rPr>
          <w:rFonts w:ascii="Times" w:hAnsi="Times" w:cs="Times New Roman"/>
          <w:sz w:val="20"/>
          <w:szCs w:val="20"/>
        </w:rPr>
        <w:t>dextroamphetamine</w:t>
      </w:r>
      <w:proofErr w:type="spellEnd"/>
      <w:r w:rsidRPr="003E0105">
        <w:rPr>
          <w:rFonts w:ascii="Times" w:hAnsi="Times" w:cs="Times New Roman"/>
          <w:sz w:val="20"/>
          <w:szCs w:val="20"/>
        </w:rPr>
        <w:t>)</w:t>
      </w:r>
      <w:proofErr w:type="gramStart"/>
      <w:r w:rsidRPr="003E0105">
        <w:rPr>
          <w:rFonts w:ascii="Times" w:hAnsi="Times" w:cs="Times New Roman"/>
          <w:sz w:val="20"/>
          <w:szCs w:val="20"/>
        </w:rPr>
        <w:t>;</w:t>
      </w:r>
      <w:proofErr w:type="gramEnd"/>
      <w:r w:rsidRPr="003E0105">
        <w:rPr>
          <w:rFonts w:ascii="Times" w:hAnsi="Times" w:cs="Times New Roman"/>
          <w:sz w:val="20"/>
          <w:szCs w:val="20"/>
        </w:rPr>
        <w:t xml:space="preserve"> or if you have any other allergies. This product may contain inactive ingredients, which can cause allergic reactions or other problems. Talk to your pharmacist for more details.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Before using this medication, tell your doctor or pharmacist your medical history, especially of: blood circulation problems (such as Raynaud's disease), certain mental/mood conditions (such as severe agitation, psychosis), personal/family history of mental/mood disorders (such as bipolar disorder, depression, psychotic disorder, suicidal thoughts), heart problems (including irregular heartbeat, coronary artery disease, previous heart attack, heart failure, cardiomyopathy, problems with heart structure such as valve problems), family history of heart problems (such as sudden death, irregular heartbeat), history of stroke, high blood pressure, overactive thyroid (hyperthyroidism), a certain eye problem (glaucoma), seizures, kidney disease, personal/family history of regular use/abuse of drugs/alcohol, personal/family history of uncontrolled muscle movements (such as Tourette's syndrome).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This drug may make you dizzy. Do not drive, use machinery, or do any activity that requires alertness until you are sure you can perform such activities safely. Limit alcoholic beverages.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Before having surgery, tell your doctor or dentist about all the products you use (including prescription drugs, nonprescription drugs, and herbal products).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Children may be more sensitive to the side effects of this drug, especially weight loss. This medication may slow down a child's growth. The doctor may recommend temporarily stopping the medication from time to time to reduce this risk. Monitor your child's weight and height. Consult your doctor or pharmacist for more details.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During pregnancy, this medication should be used only if clearly needed. Discuss the risks and benefits with your doctor. Infants born to mothers who are dependent on this medication may be born too soon (premature) and have low birth weight. They may also have withdrawal symptoms. Tell your doctor right away if you notice possible mood changes, agitation, or unusual tiredness in your newborn.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This medication passes into breast milk and may have undesirable effects on a nursing infant. Therefore, breast-feeding is not recommended while using this drug. Consult your doctor before breast-feeding.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DRUG INTERACTIONS:</w:t>
      </w:r>
      <w:r w:rsidRPr="003E0105">
        <w:rPr>
          <w:rFonts w:ascii="Times" w:hAnsi="Times" w:cs="Times New Roman"/>
          <w:sz w:val="20"/>
          <w:szCs w:val="20"/>
        </w:rPr>
        <w:br/>
        <w:t xml:space="preserve">Drug interactions may change how your medications work or increase your risk for serious side effects. This document does not contain all possible drug interactions. Keep a list of all the products you use (including prescription/nonprescription drugs and herbal products) and share it with your doctor and pharmacist. Do not start, stop, or change the dosage of any medicines without your doctor's approval.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Taking MAO inhibitors with this medication may cause a serious (possibly fatal) drug interaction. Avoid taking MAO inhibitors (</w:t>
      </w:r>
      <w:proofErr w:type="spellStart"/>
      <w:r w:rsidRPr="003E0105">
        <w:rPr>
          <w:rFonts w:ascii="Times" w:hAnsi="Times" w:cs="Times New Roman"/>
          <w:sz w:val="20"/>
          <w:szCs w:val="20"/>
        </w:rPr>
        <w:t>isocarboxazid</w:t>
      </w:r>
      <w:proofErr w:type="spellEnd"/>
      <w:r w:rsidRPr="003E0105">
        <w:rPr>
          <w:rFonts w:ascii="Times" w:hAnsi="Times" w:cs="Times New Roman"/>
          <w:sz w:val="20"/>
          <w:szCs w:val="20"/>
        </w:rPr>
        <w:t xml:space="preserve">, linezolid, methylene blue, </w:t>
      </w:r>
      <w:proofErr w:type="spellStart"/>
      <w:r w:rsidRPr="003E0105">
        <w:rPr>
          <w:rFonts w:ascii="Times" w:hAnsi="Times" w:cs="Times New Roman"/>
          <w:sz w:val="20"/>
          <w:szCs w:val="20"/>
        </w:rPr>
        <w:t>moclobemide</w:t>
      </w:r>
      <w:proofErr w:type="spellEnd"/>
      <w:r w:rsidRPr="003E0105">
        <w:rPr>
          <w:rFonts w:ascii="Times" w:hAnsi="Times" w:cs="Times New Roman"/>
          <w:sz w:val="20"/>
          <w:szCs w:val="20"/>
        </w:rPr>
        <w:t xml:space="preserve">, </w:t>
      </w:r>
      <w:proofErr w:type="spellStart"/>
      <w:r w:rsidRPr="003E0105">
        <w:rPr>
          <w:rFonts w:ascii="Times" w:hAnsi="Times" w:cs="Times New Roman"/>
          <w:sz w:val="20"/>
          <w:szCs w:val="20"/>
        </w:rPr>
        <w:t>phenelzine</w:t>
      </w:r>
      <w:proofErr w:type="spellEnd"/>
      <w:r w:rsidRPr="003E0105">
        <w:rPr>
          <w:rFonts w:ascii="Times" w:hAnsi="Times" w:cs="Times New Roman"/>
          <w:sz w:val="20"/>
          <w:szCs w:val="20"/>
        </w:rPr>
        <w:t xml:space="preserve">, </w:t>
      </w:r>
      <w:proofErr w:type="spellStart"/>
      <w:r w:rsidRPr="003E0105">
        <w:rPr>
          <w:rFonts w:ascii="Times" w:hAnsi="Times" w:cs="Times New Roman"/>
          <w:sz w:val="20"/>
          <w:szCs w:val="20"/>
        </w:rPr>
        <w:t>procarbazine</w:t>
      </w:r>
      <w:proofErr w:type="spellEnd"/>
      <w:r w:rsidRPr="003E0105">
        <w:rPr>
          <w:rFonts w:ascii="Times" w:hAnsi="Times" w:cs="Times New Roman"/>
          <w:sz w:val="20"/>
          <w:szCs w:val="20"/>
        </w:rPr>
        <w:t xml:space="preserve">, </w:t>
      </w:r>
      <w:proofErr w:type="spellStart"/>
      <w:r w:rsidRPr="003E0105">
        <w:rPr>
          <w:rFonts w:ascii="Times" w:hAnsi="Times" w:cs="Times New Roman"/>
          <w:sz w:val="20"/>
          <w:szCs w:val="20"/>
        </w:rPr>
        <w:t>rasagiline</w:t>
      </w:r>
      <w:proofErr w:type="spellEnd"/>
      <w:r w:rsidRPr="003E0105">
        <w:rPr>
          <w:rFonts w:ascii="Times" w:hAnsi="Times" w:cs="Times New Roman"/>
          <w:sz w:val="20"/>
          <w:szCs w:val="20"/>
        </w:rPr>
        <w:t xml:space="preserve">, </w:t>
      </w:r>
      <w:proofErr w:type="spellStart"/>
      <w:r w:rsidRPr="003E0105">
        <w:rPr>
          <w:rFonts w:ascii="Times" w:hAnsi="Times" w:cs="Times New Roman"/>
          <w:sz w:val="20"/>
          <w:szCs w:val="20"/>
        </w:rPr>
        <w:t>selegiline</w:t>
      </w:r>
      <w:proofErr w:type="spellEnd"/>
      <w:r w:rsidRPr="003E0105">
        <w:rPr>
          <w:rFonts w:ascii="Times" w:hAnsi="Times" w:cs="Times New Roman"/>
          <w:sz w:val="20"/>
          <w:szCs w:val="20"/>
        </w:rPr>
        <w:t xml:space="preserve">, tranylcypromine) during treatment with this medication. Most MAO inhibitors should also not be taken for two weeks before treatment with this medication. Ask your doctor when to start or stop taking this medication.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Check the labels on all your medicines (such as cough-and-cold products, diet aids) because they may contain ingredients that could increase your heart rate or blood pressure. Ask your pharmacist about using these products safely. </w:t>
      </w:r>
    </w:p>
    <w:p w:rsidR="003E0105" w:rsidRPr="003E0105" w:rsidRDefault="003E0105" w:rsidP="00A60A51">
      <w:pPr>
        <w:spacing w:beforeLines="1" w:before="2" w:afterLines="1" w:after="2"/>
        <w:rPr>
          <w:rFonts w:ascii="Times" w:hAnsi="Times" w:cs="Times New Roman"/>
          <w:sz w:val="20"/>
          <w:szCs w:val="20"/>
        </w:rPr>
      </w:pPr>
      <w:proofErr w:type="spellStart"/>
      <w:r w:rsidRPr="003E0105">
        <w:rPr>
          <w:rFonts w:ascii="Times" w:hAnsi="Times" w:cs="Times New Roman"/>
          <w:sz w:val="20"/>
          <w:szCs w:val="20"/>
        </w:rPr>
        <w:t>Lisdexamfetamine</w:t>
      </w:r>
      <w:proofErr w:type="spellEnd"/>
      <w:r w:rsidRPr="003E0105">
        <w:rPr>
          <w:rFonts w:ascii="Times" w:hAnsi="Times" w:cs="Times New Roman"/>
          <w:sz w:val="20"/>
          <w:szCs w:val="20"/>
        </w:rPr>
        <w:t xml:space="preserve"> is very similar to amphetamine or </w:t>
      </w:r>
      <w:proofErr w:type="spellStart"/>
      <w:r w:rsidRPr="003E0105">
        <w:rPr>
          <w:rFonts w:ascii="Times" w:hAnsi="Times" w:cs="Times New Roman"/>
          <w:sz w:val="20"/>
          <w:szCs w:val="20"/>
        </w:rPr>
        <w:t>dextroamphetamine</w:t>
      </w:r>
      <w:proofErr w:type="spellEnd"/>
      <w:r w:rsidRPr="003E0105">
        <w:rPr>
          <w:rFonts w:ascii="Times" w:hAnsi="Times" w:cs="Times New Roman"/>
          <w:sz w:val="20"/>
          <w:szCs w:val="20"/>
        </w:rPr>
        <w:t xml:space="preserve">. Do not use medications containing amphetamine or </w:t>
      </w:r>
      <w:proofErr w:type="spellStart"/>
      <w:r w:rsidRPr="003E0105">
        <w:rPr>
          <w:rFonts w:ascii="Times" w:hAnsi="Times" w:cs="Times New Roman"/>
          <w:sz w:val="20"/>
          <w:szCs w:val="20"/>
        </w:rPr>
        <w:t>dextroamphetamine</w:t>
      </w:r>
      <w:proofErr w:type="spellEnd"/>
      <w:r w:rsidRPr="003E0105">
        <w:rPr>
          <w:rFonts w:ascii="Times" w:hAnsi="Times" w:cs="Times New Roman"/>
          <w:sz w:val="20"/>
          <w:szCs w:val="20"/>
        </w:rPr>
        <w:t xml:space="preserve"> while using </w:t>
      </w:r>
      <w:proofErr w:type="spellStart"/>
      <w:r w:rsidRPr="003E0105">
        <w:rPr>
          <w:rFonts w:ascii="Times" w:hAnsi="Times" w:cs="Times New Roman"/>
          <w:sz w:val="20"/>
          <w:szCs w:val="20"/>
        </w:rPr>
        <w:t>lisdexamfetamine</w:t>
      </w:r>
      <w:proofErr w:type="spellEnd"/>
      <w:r w:rsidRPr="003E0105">
        <w:rPr>
          <w:rFonts w:ascii="Times" w:hAnsi="Times" w:cs="Times New Roman"/>
          <w:sz w:val="20"/>
          <w:szCs w:val="20"/>
        </w:rPr>
        <w:t xml:space="preserve">.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This medication may interfere with certain laboratory tests (including blood and urine steroid levels), possibly causing false test results. Make sure laboratory personnel and all your doctors know you use this drug.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OVERDOSE:</w:t>
      </w:r>
      <w:r w:rsidRPr="003E0105">
        <w:rPr>
          <w:rFonts w:ascii="Times" w:hAnsi="Times" w:cs="Times New Roman"/>
          <w:sz w:val="20"/>
          <w:szCs w:val="20"/>
        </w:rPr>
        <w:br/>
        <w:t xml:space="preserve">If overdose is suspected, contact a poison control center or emergency room right away. US residents can call their local poison control center at 1-800-222-1222. Canada residents can call a provincial poison control center. Symptoms of overdose may include: severe mental/mood changes (such as confusion, hallucinations), seizures, irregular heartbeat, </w:t>
      </w:r>
      <w:proofErr w:type="gramStart"/>
      <w:r w:rsidRPr="003E0105">
        <w:rPr>
          <w:rFonts w:ascii="Times" w:hAnsi="Times" w:cs="Times New Roman"/>
          <w:sz w:val="20"/>
          <w:szCs w:val="20"/>
        </w:rPr>
        <w:t>severe</w:t>
      </w:r>
      <w:proofErr w:type="gramEnd"/>
      <w:r w:rsidRPr="003E0105">
        <w:rPr>
          <w:rFonts w:ascii="Times" w:hAnsi="Times" w:cs="Times New Roman"/>
          <w:sz w:val="20"/>
          <w:szCs w:val="20"/>
        </w:rPr>
        <w:t xml:space="preserve"> restlessness, fast breathing.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NOTES:</w:t>
      </w:r>
      <w:r w:rsidRPr="003E0105">
        <w:rPr>
          <w:rFonts w:ascii="Times" w:hAnsi="Times" w:cs="Times New Roman"/>
          <w:sz w:val="20"/>
          <w:szCs w:val="20"/>
        </w:rPr>
        <w:br/>
        <w:t xml:space="preserve">Do not share this medication with others. It is against the law.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Laboratory and/or medical tests (such as blood pressure, heart rate, growth monitoring in children) may be performed periodically to monitor your progress or check for side effects. Consult your doctor for more details.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MISSED DOSE:</w:t>
      </w:r>
      <w:r w:rsidRPr="003E0105">
        <w:rPr>
          <w:rFonts w:ascii="Times" w:hAnsi="Times" w:cs="Times New Roman"/>
          <w:sz w:val="20"/>
          <w:szCs w:val="20"/>
        </w:rPr>
        <w:br/>
        <w:t xml:space="preserve">If you miss a dose, take it as soon as you remember in the morning hours. If it is afternoon or near the time of the next dose, skip the missed dose and resume your usual dosing schedule. Do not double the dose to catch up.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STORAGE:</w:t>
      </w:r>
      <w:r w:rsidRPr="003E0105">
        <w:rPr>
          <w:rFonts w:ascii="Times" w:hAnsi="Times" w:cs="Times New Roman"/>
          <w:sz w:val="20"/>
          <w:szCs w:val="20"/>
        </w:rPr>
        <w:br/>
        <w:t xml:space="preserve">Store at room temperature away from light and moisture. Do not store in the bathroom. Keep all medications away from children and pets. </w:t>
      </w:r>
    </w:p>
    <w:p w:rsidR="003E0105" w:rsidRPr="003E0105" w:rsidRDefault="003E0105" w:rsidP="00A60A51">
      <w:pPr>
        <w:spacing w:beforeLines="1" w:before="2" w:afterLines="1" w:after="2"/>
        <w:rPr>
          <w:rFonts w:ascii="Times" w:hAnsi="Times" w:cs="Times New Roman"/>
          <w:sz w:val="20"/>
          <w:szCs w:val="20"/>
        </w:rPr>
      </w:pPr>
      <w:r w:rsidRPr="003E0105">
        <w:rPr>
          <w:rFonts w:ascii="Times" w:hAnsi="Times" w:cs="Times New Roman"/>
          <w:sz w:val="20"/>
          <w:szCs w:val="20"/>
        </w:rPr>
        <w:t xml:space="preserve">Do not flush medications down the toilet or pour them into a drain unless instructed to do so. Properly discard this product when it is expired or no longer needed. Consult your pharmacist or local waste disposal company. </w:t>
      </w:r>
    </w:p>
    <w:p w:rsidR="008D4225" w:rsidRDefault="00A60A51"/>
    <w:sectPr w:rsidR="008D4225" w:rsidSect="008D42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035A1"/>
    <w:multiLevelType w:val="multilevel"/>
    <w:tmpl w:val="373C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8283A"/>
    <w:multiLevelType w:val="hybridMultilevel"/>
    <w:tmpl w:val="E6DA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31C37"/>
    <w:multiLevelType w:val="multilevel"/>
    <w:tmpl w:val="53D8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46085"/>
    <w:multiLevelType w:val="multilevel"/>
    <w:tmpl w:val="44B2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05"/>
    <w:rsid w:val="00070BBB"/>
    <w:rsid w:val="003E0105"/>
    <w:rsid w:val="00A60A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0B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60A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0A51"/>
    <w:pPr>
      <w:spacing w:before="100" w:beforeAutospacing="1" w:after="100" w:afterAutospacing="1"/>
      <w:outlineLvl w:val="2"/>
    </w:pPr>
    <w:rPr>
      <w:rFonts w:ascii="Times" w:eastAsia="Times New Roman" w:hAnsi="Time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0105"/>
    <w:rPr>
      <w:color w:val="0000FF" w:themeColor="hyperlink"/>
      <w:u w:val="single"/>
    </w:rPr>
  </w:style>
  <w:style w:type="character" w:customStyle="1" w:styleId="header1">
    <w:name w:val="header1"/>
    <w:basedOn w:val="DefaultParagraphFont"/>
    <w:rsid w:val="003E0105"/>
  </w:style>
  <w:style w:type="paragraph" w:styleId="NormalWeb">
    <w:name w:val="Normal (Web)"/>
    <w:basedOn w:val="Normal"/>
    <w:uiPriority w:val="99"/>
    <w:rsid w:val="003E0105"/>
    <w:pPr>
      <w:spacing w:beforeLines="1" w:afterLines="1"/>
    </w:pPr>
    <w:rPr>
      <w:rFonts w:ascii="Times" w:hAnsi="Times" w:cs="Times New Roman"/>
      <w:sz w:val="20"/>
      <w:szCs w:val="20"/>
    </w:rPr>
  </w:style>
  <w:style w:type="character" w:customStyle="1" w:styleId="subheading">
    <w:name w:val="subheading"/>
    <w:basedOn w:val="DefaultParagraphFont"/>
    <w:rsid w:val="003E0105"/>
  </w:style>
  <w:style w:type="character" w:customStyle="1" w:styleId="Heading1Char">
    <w:name w:val="Heading 1 Char"/>
    <w:basedOn w:val="DefaultParagraphFont"/>
    <w:link w:val="Heading1"/>
    <w:uiPriority w:val="9"/>
    <w:rsid w:val="00070BBB"/>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60A51"/>
    <w:pPr>
      <w:ind w:left="720"/>
      <w:contextualSpacing/>
    </w:pPr>
  </w:style>
  <w:style w:type="character" w:customStyle="1" w:styleId="Heading3Char">
    <w:name w:val="Heading 3 Char"/>
    <w:basedOn w:val="DefaultParagraphFont"/>
    <w:link w:val="Heading3"/>
    <w:uiPriority w:val="9"/>
    <w:rsid w:val="00A60A51"/>
    <w:rPr>
      <w:rFonts w:ascii="Times" w:eastAsia="Times New Roman" w:hAnsi="Times" w:cs="Times New Roman"/>
      <w:b/>
      <w:bCs/>
      <w:sz w:val="27"/>
      <w:szCs w:val="27"/>
    </w:rPr>
  </w:style>
  <w:style w:type="paragraph" w:customStyle="1" w:styleId="sect2title">
    <w:name w:val="sect2title"/>
    <w:basedOn w:val="Normal"/>
    <w:rsid w:val="00A60A51"/>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semiHidden/>
    <w:rsid w:val="00A60A5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0B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60A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0A51"/>
    <w:pPr>
      <w:spacing w:before="100" w:beforeAutospacing="1" w:after="100" w:afterAutospacing="1"/>
      <w:outlineLvl w:val="2"/>
    </w:pPr>
    <w:rPr>
      <w:rFonts w:ascii="Times" w:eastAsia="Times New Roman" w:hAnsi="Time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0105"/>
    <w:rPr>
      <w:color w:val="0000FF" w:themeColor="hyperlink"/>
      <w:u w:val="single"/>
    </w:rPr>
  </w:style>
  <w:style w:type="character" w:customStyle="1" w:styleId="header1">
    <w:name w:val="header1"/>
    <w:basedOn w:val="DefaultParagraphFont"/>
    <w:rsid w:val="003E0105"/>
  </w:style>
  <w:style w:type="paragraph" w:styleId="NormalWeb">
    <w:name w:val="Normal (Web)"/>
    <w:basedOn w:val="Normal"/>
    <w:uiPriority w:val="99"/>
    <w:rsid w:val="003E0105"/>
    <w:pPr>
      <w:spacing w:beforeLines="1" w:afterLines="1"/>
    </w:pPr>
    <w:rPr>
      <w:rFonts w:ascii="Times" w:hAnsi="Times" w:cs="Times New Roman"/>
      <w:sz w:val="20"/>
      <w:szCs w:val="20"/>
    </w:rPr>
  </w:style>
  <w:style w:type="character" w:customStyle="1" w:styleId="subheading">
    <w:name w:val="subheading"/>
    <w:basedOn w:val="DefaultParagraphFont"/>
    <w:rsid w:val="003E0105"/>
  </w:style>
  <w:style w:type="character" w:customStyle="1" w:styleId="Heading1Char">
    <w:name w:val="Heading 1 Char"/>
    <w:basedOn w:val="DefaultParagraphFont"/>
    <w:link w:val="Heading1"/>
    <w:uiPriority w:val="9"/>
    <w:rsid w:val="00070BBB"/>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60A51"/>
    <w:pPr>
      <w:ind w:left="720"/>
      <w:contextualSpacing/>
    </w:pPr>
  </w:style>
  <w:style w:type="character" w:customStyle="1" w:styleId="Heading3Char">
    <w:name w:val="Heading 3 Char"/>
    <w:basedOn w:val="DefaultParagraphFont"/>
    <w:link w:val="Heading3"/>
    <w:uiPriority w:val="9"/>
    <w:rsid w:val="00A60A51"/>
    <w:rPr>
      <w:rFonts w:ascii="Times" w:eastAsia="Times New Roman" w:hAnsi="Times" w:cs="Times New Roman"/>
      <w:b/>
      <w:bCs/>
      <w:sz w:val="27"/>
      <w:szCs w:val="27"/>
    </w:rPr>
  </w:style>
  <w:style w:type="paragraph" w:customStyle="1" w:styleId="sect2title">
    <w:name w:val="sect2title"/>
    <w:basedOn w:val="Normal"/>
    <w:rsid w:val="00A60A51"/>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semiHidden/>
    <w:rsid w:val="00A60A5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4325">
      <w:bodyDiv w:val="1"/>
      <w:marLeft w:val="0"/>
      <w:marRight w:val="0"/>
      <w:marTop w:val="0"/>
      <w:marBottom w:val="0"/>
      <w:divBdr>
        <w:top w:val="none" w:sz="0" w:space="0" w:color="auto"/>
        <w:left w:val="none" w:sz="0" w:space="0" w:color="auto"/>
        <w:bottom w:val="none" w:sz="0" w:space="0" w:color="auto"/>
        <w:right w:val="none" w:sz="0" w:space="0" w:color="auto"/>
      </w:divBdr>
      <w:divsChild>
        <w:div w:id="166286439">
          <w:marLeft w:val="0"/>
          <w:marRight w:val="0"/>
          <w:marTop w:val="0"/>
          <w:marBottom w:val="0"/>
          <w:divBdr>
            <w:top w:val="none" w:sz="0" w:space="0" w:color="auto"/>
            <w:left w:val="none" w:sz="0" w:space="0" w:color="auto"/>
            <w:bottom w:val="none" w:sz="0" w:space="0" w:color="auto"/>
            <w:right w:val="none" w:sz="0" w:space="0" w:color="auto"/>
          </w:divBdr>
          <w:divsChild>
            <w:div w:id="1813935725">
              <w:marLeft w:val="0"/>
              <w:marRight w:val="0"/>
              <w:marTop w:val="0"/>
              <w:marBottom w:val="0"/>
              <w:divBdr>
                <w:top w:val="none" w:sz="0" w:space="0" w:color="auto"/>
                <w:left w:val="none" w:sz="0" w:space="0" w:color="auto"/>
                <w:bottom w:val="none" w:sz="0" w:space="0" w:color="auto"/>
                <w:right w:val="none" w:sz="0" w:space="0" w:color="auto"/>
              </w:divBdr>
            </w:div>
            <w:div w:id="1564440497">
              <w:marLeft w:val="0"/>
              <w:marRight w:val="0"/>
              <w:marTop w:val="0"/>
              <w:marBottom w:val="0"/>
              <w:divBdr>
                <w:top w:val="none" w:sz="0" w:space="0" w:color="auto"/>
                <w:left w:val="none" w:sz="0" w:space="0" w:color="auto"/>
                <w:bottom w:val="none" w:sz="0" w:space="0" w:color="auto"/>
                <w:right w:val="none" w:sz="0" w:space="0" w:color="auto"/>
              </w:divBdr>
            </w:div>
            <w:div w:id="1552645884">
              <w:marLeft w:val="0"/>
              <w:marRight w:val="0"/>
              <w:marTop w:val="0"/>
              <w:marBottom w:val="0"/>
              <w:divBdr>
                <w:top w:val="none" w:sz="0" w:space="0" w:color="auto"/>
                <w:left w:val="none" w:sz="0" w:space="0" w:color="auto"/>
                <w:bottom w:val="none" w:sz="0" w:space="0" w:color="auto"/>
                <w:right w:val="none" w:sz="0" w:space="0" w:color="auto"/>
              </w:divBdr>
            </w:div>
            <w:div w:id="9809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3932">
      <w:bodyDiv w:val="1"/>
      <w:marLeft w:val="0"/>
      <w:marRight w:val="0"/>
      <w:marTop w:val="0"/>
      <w:marBottom w:val="0"/>
      <w:divBdr>
        <w:top w:val="none" w:sz="0" w:space="0" w:color="auto"/>
        <w:left w:val="none" w:sz="0" w:space="0" w:color="auto"/>
        <w:bottom w:val="none" w:sz="0" w:space="0" w:color="auto"/>
        <w:right w:val="none" w:sz="0" w:space="0" w:color="auto"/>
      </w:divBdr>
      <w:divsChild>
        <w:div w:id="1666931352">
          <w:marLeft w:val="0"/>
          <w:marRight w:val="0"/>
          <w:marTop w:val="0"/>
          <w:marBottom w:val="0"/>
          <w:divBdr>
            <w:top w:val="none" w:sz="0" w:space="0" w:color="auto"/>
            <w:left w:val="none" w:sz="0" w:space="0" w:color="auto"/>
            <w:bottom w:val="none" w:sz="0" w:space="0" w:color="auto"/>
            <w:right w:val="none" w:sz="0" w:space="0" w:color="auto"/>
          </w:divBdr>
        </w:div>
      </w:divsChild>
    </w:div>
    <w:div w:id="1082678367">
      <w:bodyDiv w:val="1"/>
      <w:marLeft w:val="0"/>
      <w:marRight w:val="0"/>
      <w:marTop w:val="0"/>
      <w:marBottom w:val="0"/>
      <w:divBdr>
        <w:top w:val="none" w:sz="0" w:space="0" w:color="auto"/>
        <w:left w:val="none" w:sz="0" w:space="0" w:color="auto"/>
        <w:bottom w:val="none" w:sz="0" w:space="0" w:color="auto"/>
        <w:right w:val="none" w:sz="0" w:space="0" w:color="auto"/>
      </w:divBdr>
      <w:divsChild>
        <w:div w:id="1762919676">
          <w:marLeft w:val="0"/>
          <w:marRight w:val="0"/>
          <w:marTop w:val="0"/>
          <w:marBottom w:val="0"/>
          <w:divBdr>
            <w:top w:val="none" w:sz="0" w:space="0" w:color="auto"/>
            <w:left w:val="none" w:sz="0" w:space="0" w:color="auto"/>
            <w:bottom w:val="none" w:sz="0" w:space="0" w:color="auto"/>
            <w:right w:val="none" w:sz="0" w:space="0" w:color="auto"/>
          </w:divBdr>
          <w:divsChild>
            <w:div w:id="689796237">
              <w:marLeft w:val="0"/>
              <w:marRight w:val="0"/>
              <w:marTop w:val="0"/>
              <w:marBottom w:val="0"/>
              <w:divBdr>
                <w:top w:val="none" w:sz="0" w:space="0" w:color="auto"/>
                <w:left w:val="none" w:sz="0" w:space="0" w:color="auto"/>
                <w:bottom w:val="none" w:sz="0" w:space="0" w:color="auto"/>
                <w:right w:val="none" w:sz="0" w:space="0" w:color="auto"/>
              </w:divBdr>
              <w:divsChild>
                <w:div w:id="4956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40084">
          <w:marLeft w:val="0"/>
          <w:marRight w:val="0"/>
          <w:marTop w:val="0"/>
          <w:marBottom w:val="0"/>
          <w:divBdr>
            <w:top w:val="none" w:sz="0" w:space="0" w:color="auto"/>
            <w:left w:val="none" w:sz="0" w:space="0" w:color="auto"/>
            <w:bottom w:val="none" w:sz="0" w:space="0" w:color="auto"/>
            <w:right w:val="none" w:sz="0" w:space="0" w:color="auto"/>
          </w:divBdr>
        </w:div>
      </w:divsChild>
    </w:div>
    <w:div w:id="1431049626">
      <w:bodyDiv w:val="1"/>
      <w:marLeft w:val="0"/>
      <w:marRight w:val="0"/>
      <w:marTop w:val="0"/>
      <w:marBottom w:val="0"/>
      <w:divBdr>
        <w:top w:val="none" w:sz="0" w:space="0" w:color="auto"/>
        <w:left w:val="none" w:sz="0" w:space="0" w:color="auto"/>
        <w:bottom w:val="none" w:sz="0" w:space="0" w:color="auto"/>
        <w:right w:val="none" w:sz="0" w:space="0" w:color="auto"/>
      </w:divBdr>
      <w:divsChild>
        <w:div w:id="1548882648">
          <w:marLeft w:val="0"/>
          <w:marRight w:val="0"/>
          <w:marTop w:val="0"/>
          <w:marBottom w:val="0"/>
          <w:divBdr>
            <w:top w:val="none" w:sz="0" w:space="0" w:color="auto"/>
            <w:left w:val="none" w:sz="0" w:space="0" w:color="auto"/>
            <w:bottom w:val="none" w:sz="0" w:space="0" w:color="auto"/>
            <w:right w:val="none" w:sz="0" w:space="0" w:color="auto"/>
          </w:divBdr>
          <w:divsChild>
            <w:div w:id="1095244494">
              <w:marLeft w:val="0"/>
              <w:marRight w:val="0"/>
              <w:marTop w:val="0"/>
              <w:marBottom w:val="0"/>
              <w:divBdr>
                <w:top w:val="none" w:sz="0" w:space="0" w:color="auto"/>
                <w:left w:val="none" w:sz="0" w:space="0" w:color="auto"/>
                <w:bottom w:val="none" w:sz="0" w:space="0" w:color="auto"/>
                <w:right w:val="none" w:sz="0" w:space="0" w:color="auto"/>
              </w:divBdr>
            </w:div>
          </w:divsChild>
        </w:div>
        <w:div w:id="1201281775">
          <w:marLeft w:val="0"/>
          <w:marRight w:val="0"/>
          <w:marTop w:val="0"/>
          <w:marBottom w:val="0"/>
          <w:divBdr>
            <w:top w:val="none" w:sz="0" w:space="0" w:color="auto"/>
            <w:left w:val="none" w:sz="0" w:space="0" w:color="auto"/>
            <w:bottom w:val="none" w:sz="0" w:space="0" w:color="auto"/>
            <w:right w:val="none" w:sz="0" w:space="0" w:color="auto"/>
          </w:divBdr>
          <w:divsChild>
            <w:div w:id="934093554">
              <w:marLeft w:val="0"/>
              <w:marRight w:val="0"/>
              <w:marTop w:val="0"/>
              <w:marBottom w:val="0"/>
              <w:divBdr>
                <w:top w:val="none" w:sz="0" w:space="0" w:color="auto"/>
                <w:left w:val="none" w:sz="0" w:space="0" w:color="auto"/>
                <w:bottom w:val="none" w:sz="0" w:space="0" w:color="auto"/>
                <w:right w:val="none" w:sz="0" w:space="0" w:color="auto"/>
              </w:divBdr>
            </w:div>
            <w:div w:id="14142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9609">
      <w:bodyDiv w:val="1"/>
      <w:marLeft w:val="0"/>
      <w:marRight w:val="0"/>
      <w:marTop w:val="0"/>
      <w:marBottom w:val="0"/>
      <w:divBdr>
        <w:top w:val="none" w:sz="0" w:space="0" w:color="auto"/>
        <w:left w:val="none" w:sz="0" w:space="0" w:color="auto"/>
        <w:bottom w:val="none" w:sz="0" w:space="0" w:color="auto"/>
        <w:right w:val="none" w:sz="0" w:space="0" w:color="auto"/>
      </w:divBdr>
      <w:divsChild>
        <w:div w:id="1486969718">
          <w:marLeft w:val="0"/>
          <w:marRight w:val="0"/>
          <w:marTop w:val="0"/>
          <w:marBottom w:val="0"/>
          <w:divBdr>
            <w:top w:val="none" w:sz="0" w:space="0" w:color="auto"/>
            <w:left w:val="none" w:sz="0" w:space="0" w:color="auto"/>
            <w:bottom w:val="none" w:sz="0" w:space="0" w:color="auto"/>
            <w:right w:val="none" w:sz="0" w:space="0" w:color="auto"/>
          </w:divBdr>
        </w:div>
        <w:div w:id="13768506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SDR18@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2136</Words>
  <Characters>12181</Characters>
  <Application>Microsoft Macintosh Word</Application>
  <DocSecurity>0</DocSecurity>
  <Lines>101</Lines>
  <Paragraphs>28</Paragraphs>
  <ScaleCrop>false</ScaleCrop>
  <Company>Sheri Spirt, M.D.</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Spirt</dc:creator>
  <cp:keywords/>
  <cp:lastModifiedBy>sheri Spirt</cp:lastModifiedBy>
  <cp:revision>2</cp:revision>
  <cp:lastPrinted>2016-10-26T18:21:00Z</cp:lastPrinted>
  <dcterms:created xsi:type="dcterms:W3CDTF">2017-01-01T23:41:00Z</dcterms:created>
  <dcterms:modified xsi:type="dcterms:W3CDTF">2017-01-01T23:41:00Z</dcterms:modified>
</cp:coreProperties>
</file>