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2486" w14:textId="77777777" w:rsidR="007329AD" w:rsidRDefault="007329AD" w:rsidP="00EA47A3">
      <w:pPr>
        <w:jc w:val="center"/>
        <w:rPr>
          <w:sz w:val="28"/>
        </w:rPr>
      </w:pPr>
      <w:proofErr w:type="gramStart"/>
      <w:r w:rsidRPr="003D2CC4">
        <w:rPr>
          <w:sz w:val="28"/>
        </w:rPr>
        <w:t>SHERI SPIRT, M.D.</w:t>
      </w:r>
      <w:proofErr w:type="gramEnd"/>
    </w:p>
    <w:p w14:paraId="6D4117A5" w14:textId="77777777" w:rsidR="007329AD" w:rsidRDefault="007329AD" w:rsidP="00EA47A3">
      <w:pPr>
        <w:jc w:val="center"/>
      </w:pPr>
      <w:r>
        <w:t>PSYCHIATRY</w:t>
      </w:r>
    </w:p>
    <w:p w14:paraId="75351584" w14:textId="77777777" w:rsidR="007329AD" w:rsidRDefault="007329AD" w:rsidP="00EA47A3">
      <w:pPr>
        <w:jc w:val="center"/>
      </w:pPr>
      <w:r>
        <w:t>16 East 96</w:t>
      </w:r>
      <w:r w:rsidRPr="002A6B06">
        <w:rPr>
          <w:vertAlign w:val="superscript"/>
        </w:rPr>
        <w:t>th</w:t>
      </w:r>
      <w:r>
        <w:t xml:space="preserve"> Street Unit 1A</w:t>
      </w:r>
    </w:p>
    <w:p w14:paraId="10875D78" w14:textId="77777777" w:rsidR="007329AD" w:rsidRDefault="007329AD" w:rsidP="00EA47A3">
      <w:pPr>
        <w:jc w:val="center"/>
      </w:pPr>
      <w:r>
        <w:t>NEW YORK, N.Y. 10128</w:t>
      </w:r>
    </w:p>
    <w:p w14:paraId="34198974" w14:textId="77777777" w:rsidR="007329AD" w:rsidRDefault="007329AD" w:rsidP="00EA47A3">
      <w:pPr>
        <w:jc w:val="center"/>
      </w:pPr>
      <w:r>
        <w:t>(212) 595-6901</w:t>
      </w:r>
    </w:p>
    <w:p w14:paraId="52BAFE35" w14:textId="77777777" w:rsidR="007329AD" w:rsidRDefault="00F2628F" w:rsidP="00EA47A3">
      <w:pPr>
        <w:jc w:val="center"/>
      </w:pPr>
      <w:hyperlink r:id="rId6" w:history="1">
        <w:r w:rsidR="007329AD" w:rsidRPr="00A83CF6">
          <w:rPr>
            <w:rStyle w:val="Hyperlink"/>
          </w:rPr>
          <w:t>SSDR18@AOL.COM</w:t>
        </w:r>
      </w:hyperlink>
    </w:p>
    <w:p w14:paraId="6AB713A3" w14:textId="77777777" w:rsidR="007329AD" w:rsidRDefault="007329AD" w:rsidP="00547C5F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</w:p>
    <w:p w14:paraId="0C7952FF" w14:textId="77777777" w:rsidR="00360EFE" w:rsidRPr="00360EFE" w:rsidRDefault="00360EFE" w:rsidP="00547C5F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 w:rsidRPr="00360EFE">
        <w:rPr>
          <w:rFonts w:ascii="Times" w:hAnsi="Times"/>
          <w:b/>
          <w:sz w:val="36"/>
          <w:szCs w:val="20"/>
        </w:rPr>
        <w:t>Pharmacology</w:t>
      </w:r>
      <w:r>
        <w:rPr>
          <w:rFonts w:ascii="Times" w:hAnsi="Times"/>
          <w:b/>
          <w:sz w:val="36"/>
          <w:szCs w:val="20"/>
        </w:rPr>
        <w:t xml:space="preserve"> of Trintellix</w:t>
      </w:r>
    </w:p>
    <w:p w14:paraId="2571C101" w14:textId="77777777" w:rsidR="00360EFE" w:rsidRPr="00360EFE" w:rsidRDefault="00360EFE" w:rsidP="00547C5F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360EFE">
        <w:rPr>
          <w:rFonts w:ascii="Times" w:hAnsi="Times"/>
          <w:b/>
          <w:sz w:val="27"/>
          <w:szCs w:val="20"/>
        </w:rPr>
        <w:t>Mechanism of Action</w:t>
      </w:r>
    </w:p>
    <w:p w14:paraId="1805F7F7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 xml:space="preserve">The mechanism of the antidepressant effect is not fully understood, but </w:t>
      </w:r>
      <w:proofErr w:type="gramStart"/>
      <w:r w:rsidRPr="00360EFE">
        <w:rPr>
          <w:rFonts w:ascii="Times" w:hAnsi="Times" w:cs="Times New Roman"/>
          <w:sz w:val="20"/>
          <w:szCs w:val="20"/>
        </w:rPr>
        <w:t>is thought to be related</w:t>
      </w:r>
      <w:proofErr w:type="gramEnd"/>
      <w:r w:rsidRPr="00360EFE">
        <w:rPr>
          <w:rFonts w:ascii="Times" w:hAnsi="Times" w:cs="Times New Roman"/>
          <w:sz w:val="20"/>
          <w:szCs w:val="20"/>
        </w:rPr>
        <w:t xml:space="preserve"> to its enhancement of serotonergic activity in the CNS through inhibition of the reuptake of serotonin (5-HT)</w:t>
      </w:r>
    </w:p>
    <w:p w14:paraId="380685D7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 xml:space="preserve">It also has several other activities including 5-HT3 receptor </w:t>
      </w:r>
      <w:proofErr w:type="gramStart"/>
      <w:r w:rsidRPr="00360EFE">
        <w:rPr>
          <w:rFonts w:ascii="Times" w:hAnsi="Times" w:cs="Times New Roman"/>
          <w:sz w:val="20"/>
          <w:szCs w:val="20"/>
        </w:rPr>
        <w:t>antagonism</w:t>
      </w:r>
      <w:proofErr w:type="gramEnd"/>
      <w:r w:rsidRPr="00360EFE">
        <w:rPr>
          <w:rFonts w:ascii="Times" w:hAnsi="Times" w:cs="Times New Roman"/>
          <w:sz w:val="20"/>
          <w:szCs w:val="20"/>
        </w:rPr>
        <w:t xml:space="preserve"> and 5-HT1A receptor </w:t>
      </w:r>
      <w:proofErr w:type="spellStart"/>
      <w:r w:rsidRPr="00360EFE">
        <w:rPr>
          <w:rFonts w:ascii="Times" w:hAnsi="Times" w:cs="Times New Roman"/>
          <w:sz w:val="20"/>
          <w:szCs w:val="20"/>
        </w:rPr>
        <w:t>agonism</w:t>
      </w:r>
      <w:proofErr w:type="spellEnd"/>
      <w:r w:rsidRPr="00360EFE">
        <w:rPr>
          <w:rFonts w:ascii="Times" w:hAnsi="Times" w:cs="Times New Roman"/>
          <w:sz w:val="20"/>
          <w:szCs w:val="20"/>
        </w:rPr>
        <w:t>; the contribution of these activities to the antidepressant effect has not been established</w:t>
      </w:r>
    </w:p>
    <w:p w14:paraId="6D494B0A" w14:textId="77777777" w:rsidR="00360EFE" w:rsidRPr="00360EFE" w:rsidRDefault="00360EFE" w:rsidP="00547C5F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360EFE">
        <w:rPr>
          <w:rFonts w:ascii="Times" w:hAnsi="Times"/>
          <w:b/>
          <w:sz w:val="27"/>
          <w:szCs w:val="20"/>
        </w:rPr>
        <w:t>Absorption</w:t>
      </w:r>
    </w:p>
    <w:p w14:paraId="2FD0B8D8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 xml:space="preserve">Peak plasma concentration: 9, 18, and 33 </w:t>
      </w:r>
      <w:proofErr w:type="spellStart"/>
      <w:r w:rsidRPr="00360EFE">
        <w:rPr>
          <w:rFonts w:ascii="Times" w:hAnsi="Times" w:cs="Times New Roman"/>
          <w:sz w:val="20"/>
          <w:szCs w:val="20"/>
        </w:rPr>
        <w:t>ng</w:t>
      </w:r>
      <w:proofErr w:type="spellEnd"/>
      <w:r w:rsidRPr="00360EFE">
        <w:rPr>
          <w:rFonts w:ascii="Times" w:hAnsi="Times" w:cs="Times New Roman"/>
          <w:sz w:val="20"/>
          <w:szCs w:val="20"/>
        </w:rPr>
        <w:t>/mL following doses of 5, 10, and 20 mg/day</w:t>
      </w:r>
    </w:p>
    <w:p w14:paraId="754FF3D5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>Peak plasma time: 7-11 hr</w:t>
      </w:r>
    </w:p>
    <w:p w14:paraId="174A2985" w14:textId="77777777" w:rsidR="00360EFE" w:rsidRPr="00360EFE" w:rsidRDefault="00360EFE" w:rsidP="00547C5F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360EFE">
        <w:rPr>
          <w:rFonts w:ascii="Times" w:hAnsi="Times"/>
          <w:b/>
          <w:sz w:val="27"/>
          <w:szCs w:val="20"/>
        </w:rPr>
        <w:t>Distribution</w:t>
      </w:r>
    </w:p>
    <w:p w14:paraId="13277F9A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>Protein bound: 98%</w:t>
      </w:r>
    </w:p>
    <w:p w14:paraId="6D56F7D5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spellStart"/>
      <w:r w:rsidRPr="00360EFE">
        <w:rPr>
          <w:rFonts w:ascii="Times" w:hAnsi="Times" w:cs="Times New Roman"/>
          <w:sz w:val="20"/>
          <w:szCs w:val="20"/>
        </w:rPr>
        <w:t>Vd</w:t>
      </w:r>
      <w:proofErr w:type="spellEnd"/>
      <w:r w:rsidRPr="00360EFE">
        <w:rPr>
          <w:rFonts w:ascii="Times" w:hAnsi="Times" w:cs="Times New Roman"/>
          <w:sz w:val="20"/>
          <w:szCs w:val="20"/>
        </w:rPr>
        <w:t>: 2600 L (extensive extravascular distribution)</w:t>
      </w:r>
    </w:p>
    <w:p w14:paraId="3C6E8BC2" w14:textId="77777777" w:rsidR="00360EFE" w:rsidRPr="00360EFE" w:rsidRDefault="00360EFE" w:rsidP="00547C5F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360EFE">
        <w:rPr>
          <w:rFonts w:ascii="Times" w:hAnsi="Times"/>
          <w:b/>
          <w:sz w:val="27"/>
          <w:szCs w:val="20"/>
        </w:rPr>
        <w:t>Metabolism</w:t>
      </w:r>
    </w:p>
    <w:p w14:paraId="77F4622C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 xml:space="preserve">Extensively metabolized primarily through oxidation via CYP450 </w:t>
      </w:r>
      <w:proofErr w:type="spellStart"/>
      <w:r w:rsidRPr="00360EFE">
        <w:rPr>
          <w:rFonts w:ascii="Times" w:hAnsi="Times" w:cs="Times New Roman"/>
          <w:sz w:val="20"/>
          <w:szCs w:val="20"/>
        </w:rPr>
        <w:t>isozymes</w:t>
      </w:r>
      <w:proofErr w:type="spellEnd"/>
      <w:r w:rsidRPr="00360EFE">
        <w:rPr>
          <w:rFonts w:ascii="Times" w:hAnsi="Times" w:cs="Times New Roman"/>
          <w:sz w:val="20"/>
          <w:szCs w:val="20"/>
        </w:rPr>
        <w:t xml:space="preserve"> CYP2D6, CYP3A4/5, CYP2C19, CYP2C9, CYP2A6, CYP2C8 and CYP2B6 and subsequent </w:t>
      </w:r>
      <w:proofErr w:type="spellStart"/>
      <w:r w:rsidRPr="00360EFE">
        <w:rPr>
          <w:rFonts w:ascii="Times" w:hAnsi="Times" w:cs="Times New Roman"/>
          <w:sz w:val="20"/>
          <w:szCs w:val="20"/>
        </w:rPr>
        <w:t>glucuronic</w:t>
      </w:r>
      <w:proofErr w:type="spellEnd"/>
      <w:r w:rsidRPr="00360EFE">
        <w:rPr>
          <w:rFonts w:ascii="Times" w:hAnsi="Times" w:cs="Times New Roman"/>
          <w:sz w:val="20"/>
          <w:szCs w:val="20"/>
        </w:rPr>
        <w:t xml:space="preserve"> acid conjugation</w:t>
      </w:r>
    </w:p>
    <w:p w14:paraId="756723DF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>CYP2D6 is the primary metabolic pathway</w:t>
      </w:r>
    </w:p>
    <w:p w14:paraId="10D825D0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>Metabolites: Carboxylic acid metabolite (inactive)</w:t>
      </w:r>
    </w:p>
    <w:p w14:paraId="4F2F6385" w14:textId="77777777" w:rsidR="00360EFE" w:rsidRPr="00360EFE" w:rsidRDefault="00360EFE" w:rsidP="00547C5F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360EFE">
        <w:rPr>
          <w:rFonts w:ascii="Times" w:hAnsi="Times"/>
          <w:b/>
          <w:sz w:val="27"/>
          <w:szCs w:val="20"/>
        </w:rPr>
        <w:t>Elimination</w:t>
      </w:r>
    </w:p>
    <w:p w14:paraId="6809BFAE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>Half-life: 66 hr</w:t>
      </w:r>
    </w:p>
    <w:p w14:paraId="590B524C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>Excretion: 59% urine; 26% feces</w:t>
      </w:r>
    </w:p>
    <w:p w14:paraId="22611084" w14:textId="77777777" w:rsidR="00360EFE" w:rsidRPr="00360EFE" w:rsidRDefault="00360EFE" w:rsidP="00547C5F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360EFE">
        <w:rPr>
          <w:rFonts w:ascii="Times" w:hAnsi="Times"/>
          <w:b/>
          <w:sz w:val="27"/>
          <w:szCs w:val="20"/>
        </w:rPr>
        <w:t>Pharmacogenomics</w:t>
      </w:r>
    </w:p>
    <w:p w14:paraId="00C368CE" w14:textId="77777777" w:rsidR="005569B5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360EFE">
        <w:rPr>
          <w:rFonts w:ascii="Times" w:hAnsi="Times" w:cs="Times New Roman"/>
          <w:sz w:val="20"/>
          <w:szCs w:val="20"/>
        </w:rPr>
        <w:t xml:space="preserve">Poor metabolizers of CYP2D6 have ~twice the </w:t>
      </w:r>
      <w:proofErr w:type="spellStart"/>
      <w:r w:rsidRPr="00360EFE">
        <w:rPr>
          <w:rFonts w:ascii="Times" w:hAnsi="Times" w:cs="Times New Roman"/>
          <w:sz w:val="20"/>
          <w:szCs w:val="20"/>
        </w:rPr>
        <w:t>vortioxetine</w:t>
      </w:r>
      <w:proofErr w:type="spellEnd"/>
      <w:r w:rsidRPr="00360EFE">
        <w:rPr>
          <w:rFonts w:ascii="Times" w:hAnsi="Times" w:cs="Times New Roman"/>
          <w:sz w:val="20"/>
          <w:szCs w:val="20"/>
        </w:rPr>
        <w:t xml:space="preserve"> plasma concentration of extensive metabolizers</w:t>
      </w:r>
    </w:p>
    <w:p w14:paraId="639859EF" w14:textId="77777777" w:rsidR="005569B5" w:rsidRDefault="005569B5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66BF2161" w14:textId="77777777" w:rsidR="005569B5" w:rsidRPr="005569B5" w:rsidRDefault="005569B5" w:rsidP="005569B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5569B5">
        <w:rPr>
          <w:rFonts w:ascii="Times" w:hAnsi="Times"/>
          <w:b/>
          <w:sz w:val="27"/>
          <w:szCs w:val="20"/>
        </w:rPr>
        <w:t>Black Box Warnings</w:t>
      </w:r>
    </w:p>
    <w:p w14:paraId="4D707FB2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spellStart"/>
      <w:r w:rsidRPr="005569B5">
        <w:rPr>
          <w:rFonts w:ascii="Times" w:hAnsi="Times" w:cs="Times New Roman"/>
          <w:sz w:val="20"/>
          <w:szCs w:val="20"/>
        </w:rPr>
        <w:t>Suicidality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 </w:t>
      </w:r>
    </w:p>
    <w:p w14:paraId="6FDFBA5C" w14:textId="77777777" w:rsidR="005569B5" w:rsidRPr="005569B5" w:rsidRDefault="005569B5" w:rsidP="005569B5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>In short-term studies, antidepressants increased the risk of suicidal thinking and behavior in children, adolescents, and young adults (&lt;24 years) taking antidepressants for major depressive disorders and other psychiatric illnesses; this increase was not seen in patients &gt;24 years</w:t>
      </w:r>
    </w:p>
    <w:p w14:paraId="74FD4E6F" w14:textId="77777777" w:rsidR="005569B5" w:rsidRPr="005569B5" w:rsidRDefault="005569B5" w:rsidP="005569B5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>Slight decrease in suicidal thinking was seen in adults &gt;65 years</w:t>
      </w:r>
    </w:p>
    <w:p w14:paraId="34B6F1A2" w14:textId="77777777" w:rsidR="005569B5" w:rsidRPr="005569B5" w:rsidRDefault="005569B5" w:rsidP="005569B5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>In children and young adults, risks must be weighed against the benefits of taking antidepressants</w:t>
      </w:r>
    </w:p>
    <w:p w14:paraId="6960B0AF" w14:textId="77777777" w:rsidR="005569B5" w:rsidRPr="005569B5" w:rsidRDefault="005569B5" w:rsidP="005569B5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>Patients should be monitored closely for changes in behavior, clinical worsening, and suicidal tendencies; this should be done during initial 1-2 months of therapy and dosage adjustments</w:t>
      </w:r>
    </w:p>
    <w:p w14:paraId="3D672BCD" w14:textId="77777777" w:rsidR="005569B5" w:rsidRPr="005569B5" w:rsidRDefault="005569B5" w:rsidP="005569B5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>The patient’s family should communicate any abrupt changes in behavior to the healthcare provider</w:t>
      </w:r>
    </w:p>
    <w:p w14:paraId="3A082579" w14:textId="77777777" w:rsidR="005569B5" w:rsidRPr="005569B5" w:rsidRDefault="005569B5" w:rsidP="005569B5">
      <w:pPr>
        <w:numPr>
          <w:ilvl w:val="0"/>
          <w:numId w:val="1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>Worsening behavior and suicidal tendencies that are not part of the presenting symptoms may require discontinuation of therapy; this drug is not approved for use in pediatric patients</w:t>
      </w:r>
    </w:p>
    <w:p w14:paraId="6592702A" w14:textId="77777777" w:rsidR="005569B5" w:rsidRPr="005569B5" w:rsidRDefault="005569B5" w:rsidP="005569B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5569B5">
        <w:rPr>
          <w:rFonts w:ascii="Times" w:hAnsi="Times"/>
          <w:b/>
          <w:sz w:val="27"/>
          <w:szCs w:val="20"/>
        </w:rPr>
        <w:t>Contraindications</w:t>
      </w:r>
    </w:p>
    <w:p w14:paraId="3DE5F9F6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 xml:space="preserve">Hypersensitivity </w:t>
      </w:r>
    </w:p>
    <w:p w14:paraId="3AB33220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proofErr w:type="spellStart"/>
      <w:r w:rsidRPr="005569B5">
        <w:rPr>
          <w:rFonts w:ascii="Times" w:hAnsi="Times" w:cs="Times New Roman"/>
          <w:sz w:val="20"/>
          <w:szCs w:val="20"/>
        </w:rPr>
        <w:t>Coadministration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 with MAOIs</w:t>
      </w:r>
    </w:p>
    <w:p w14:paraId="0796D4B6" w14:textId="77777777" w:rsidR="005569B5" w:rsidRPr="005569B5" w:rsidRDefault="005569B5" w:rsidP="005569B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proofErr w:type="spellStart"/>
      <w:r w:rsidRPr="005569B5">
        <w:rPr>
          <w:rFonts w:ascii="Times" w:hAnsi="Times"/>
          <w:sz w:val="20"/>
          <w:szCs w:val="20"/>
        </w:rPr>
        <w:t>Coadministration</w:t>
      </w:r>
      <w:proofErr w:type="spellEnd"/>
      <w:r w:rsidRPr="005569B5">
        <w:rPr>
          <w:rFonts w:ascii="Times" w:hAnsi="Times"/>
          <w:sz w:val="20"/>
          <w:szCs w:val="20"/>
        </w:rPr>
        <w:t xml:space="preserve"> of MAOIs with </w:t>
      </w:r>
      <w:proofErr w:type="spellStart"/>
      <w:r w:rsidRPr="005569B5">
        <w:rPr>
          <w:rFonts w:ascii="Times" w:hAnsi="Times"/>
          <w:sz w:val="20"/>
          <w:szCs w:val="20"/>
        </w:rPr>
        <w:t>vortioxetine</w:t>
      </w:r>
      <w:proofErr w:type="spellEnd"/>
      <w:r w:rsidRPr="005569B5">
        <w:rPr>
          <w:rFonts w:ascii="Times" w:hAnsi="Times"/>
          <w:sz w:val="20"/>
          <w:szCs w:val="20"/>
        </w:rPr>
        <w:t xml:space="preserve"> or within 3 weeks of discontinuing </w:t>
      </w:r>
      <w:proofErr w:type="spellStart"/>
      <w:r w:rsidRPr="005569B5">
        <w:rPr>
          <w:rFonts w:ascii="Times" w:hAnsi="Times"/>
          <w:sz w:val="20"/>
          <w:szCs w:val="20"/>
        </w:rPr>
        <w:t>vortioxetine</w:t>
      </w:r>
      <w:proofErr w:type="spellEnd"/>
    </w:p>
    <w:p w14:paraId="406B10DA" w14:textId="77777777" w:rsidR="005569B5" w:rsidRPr="005569B5" w:rsidRDefault="005569B5" w:rsidP="005569B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 xml:space="preserve">Initiating </w:t>
      </w:r>
      <w:proofErr w:type="spellStart"/>
      <w:r w:rsidRPr="005569B5">
        <w:rPr>
          <w:rFonts w:ascii="Times" w:hAnsi="Times"/>
          <w:sz w:val="20"/>
          <w:szCs w:val="20"/>
        </w:rPr>
        <w:t>vortioxetine</w:t>
      </w:r>
      <w:proofErr w:type="spellEnd"/>
      <w:r w:rsidRPr="005569B5">
        <w:rPr>
          <w:rFonts w:ascii="Times" w:hAnsi="Times"/>
          <w:sz w:val="20"/>
          <w:szCs w:val="20"/>
        </w:rPr>
        <w:t xml:space="preserve"> within 14 days of stopping an MAOI</w:t>
      </w:r>
    </w:p>
    <w:p w14:paraId="667240A7" w14:textId="77777777" w:rsidR="005569B5" w:rsidRPr="005569B5" w:rsidRDefault="005569B5" w:rsidP="005569B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lastRenderedPageBreak/>
        <w:t xml:space="preserve">Starting </w:t>
      </w:r>
      <w:proofErr w:type="spellStart"/>
      <w:r w:rsidRPr="005569B5">
        <w:rPr>
          <w:rFonts w:ascii="Times" w:hAnsi="Times"/>
          <w:sz w:val="20"/>
          <w:szCs w:val="20"/>
        </w:rPr>
        <w:t>vortioxetine</w:t>
      </w:r>
      <w:proofErr w:type="spellEnd"/>
      <w:r w:rsidRPr="005569B5">
        <w:rPr>
          <w:rFonts w:ascii="Times" w:hAnsi="Times"/>
          <w:sz w:val="20"/>
          <w:szCs w:val="20"/>
        </w:rPr>
        <w:t xml:space="preserve"> in a patient who is being treated with linezolid or IV methylene blue is contraindicated because of an increased risk of serotonin syndrome</w:t>
      </w:r>
    </w:p>
    <w:p w14:paraId="48272F1E" w14:textId="77777777" w:rsidR="005569B5" w:rsidRPr="005569B5" w:rsidRDefault="005569B5" w:rsidP="005569B5">
      <w:pPr>
        <w:numPr>
          <w:ilvl w:val="0"/>
          <w:numId w:val="2"/>
        </w:numPr>
        <w:spacing w:beforeLines="1" w:before="2" w:afterLines="1" w:after="2"/>
        <w:rPr>
          <w:rFonts w:ascii="Times" w:hAnsi="Times"/>
          <w:sz w:val="20"/>
          <w:szCs w:val="20"/>
        </w:rPr>
      </w:pPr>
      <w:r w:rsidRPr="005569B5">
        <w:rPr>
          <w:rFonts w:ascii="Times" w:hAnsi="Times"/>
          <w:sz w:val="20"/>
          <w:szCs w:val="20"/>
        </w:rPr>
        <w:t xml:space="preserve">If linezolid or IV methylene blue must be administered, discontinue </w:t>
      </w:r>
      <w:proofErr w:type="spellStart"/>
      <w:r w:rsidRPr="005569B5">
        <w:rPr>
          <w:rFonts w:ascii="Times" w:hAnsi="Times"/>
          <w:sz w:val="20"/>
          <w:szCs w:val="20"/>
        </w:rPr>
        <w:t>vortioxetine</w:t>
      </w:r>
      <w:proofErr w:type="spellEnd"/>
      <w:r w:rsidRPr="005569B5">
        <w:rPr>
          <w:rFonts w:ascii="Times" w:hAnsi="Times"/>
          <w:sz w:val="20"/>
          <w:szCs w:val="20"/>
        </w:rPr>
        <w:t xml:space="preserve"> immediately and monitor for CNS toxicity; monitor for symptoms of serotonin syndrome for 3 weeks or until 24 hours after the last dose of linezolid or methylene blue; may resume </w:t>
      </w:r>
      <w:proofErr w:type="spellStart"/>
      <w:r w:rsidRPr="005569B5">
        <w:rPr>
          <w:rFonts w:ascii="Times" w:hAnsi="Times"/>
          <w:sz w:val="20"/>
          <w:szCs w:val="20"/>
        </w:rPr>
        <w:t>vortioxetine</w:t>
      </w:r>
      <w:proofErr w:type="spellEnd"/>
      <w:r w:rsidRPr="005569B5">
        <w:rPr>
          <w:rFonts w:ascii="Times" w:hAnsi="Times"/>
          <w:sz w:val="20"/>
          <w:szCs w:val="20"/>
        </w:rPr>
        <w:t xml:space="preserve"> 24 hr after last dose of linezolid or methylene blue</w:t>
      </w:r>
    </w:p>
    <w:p w14:paraId="224773AF" w14:textId="77777777" w:rsidR="005569B5" w:rsidRPr="005569B5" w:rsidRDefault="005569B5" w:rsidP="005569B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5569B5">
        <w:rPr>
          <w:rFonts w:ascii="Times" w:hAnsi="Times"/>
          <w:b/>
          <w:sz w:val="27"/>
          <w:szCs w:val="20"/>
        </w:rPr>
        <w:t>Cautions</w:t>
      </w:r>
    </w:p>
    <w:p w14:paraId="2A2DB5A0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Clinical worsening of depression and suicide risk (see Black Box Warning)</w:t>
      </w:r>
    </w:p>
    <w:p w14:paraId="369D85AE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May worsen mania symptoms or activate mania/hypomania in patients with bipolar disorder</w:t>
      </w:r>
    </w:p>
    <w:p w14:paraId="541E33C9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 xml:space="preserve">Serotonin Syndrome reported with serotonergic antidepressants (SSRIs, SNRIs, and others), including with </w:t>
      </w:r>
      <w:proofErr w:type="spellStart"/>
      <w:r w:rsidRPr="005569B5">
        <w:rPr>
          <w:rFonts w:ascii="Times" w:hAnsi="Times" w:cs="Times New Roman"/>
          <w:sz w:val="20"/>
          <w:szCs w:val="20"/>
        </w:rPr>
        <w:t>vortioxetine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, both when taken alone, but especially when </w:t>
      </w:r>
      <w:proofErr w:type="spellStart"/>
      <w:r w:rsidRPr="005569B5">
        <w:rPr>
          <w:rFonts w:ascii="Times" w:hAnsi="Times" w:cs="Times New Roman"/>
          <w:sz w:val="20"/>
          <w:szCs w:val="20"/>
        </w:rPr>
        <w:t>coadministered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 with other serotonergic agents (including </w:t>
      </w:r>
      <w:proofErr w:type="spellStart"/>
      <w:r w:rsidRPr="005569B5">
        <w:rPr>
          <w:rFonts w:ascii="Times" w:hAnsi="Times" w:cs="Times New Roman"/>
          <w:sz w:val="20"/>
          <w:szCs w:val="20"/>
        </w:rPr>
        <w:t>triptans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, tricyclic antidepressants, fentanyl, lithium, tramadol, tryptophan, </w:t>
      </w:r>
      <w:proofErr w:type="spellStart"/>
      <w:r w:rsidRPr="005569B5">
        <w:rPr>
          <w:rFonts w:ascii="Times" w:hAnsi="Times" w:cs="Times New Roman"/>
          <w:sz w:val="20"/>
          <w:szCs w:val="20"/>
        </w:rPr>
        <w:t>buspirone</w:t>
      </w:r>
      <w:proofErr w:type="spellEnd"/>
      <w:r w:rsidRPr="005569B5">
        <w:rPr>
          <w:rFonts w:ascii="Times" w:hAnsi="Times" w:cs="Times New Roman"/>
          <w:sz w:val="20"/>
          <w:szCs w:val="20"/>
        </w:rPr>
        <w:t>, and St. John's Wort); if symptoms occur, discontinue therapy and initiate supportive treatment; if concomitant use with other serotonergic drugs is clinically warranted, patients should be made aware of potential increased risk for serotonin syndrome, particularly during treatment initiation and dose increases</w:t>
      </w:r>
    </w:p>
    <w:p w14:paraId="25B57C1D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 xml:space="preserve">Treatment with serotonergic antidepressants (SSRIs, SNRIs, and others) may increase risk of abnormal bleeding. </w:t>
      </w:r>
      <w:proofErr w:type="gramStart"/>
      <w:r w:rsidRPr="005569B5">
        <w:rPr>
          <w:rFonts w:ascii="Times" w:hAnsi="Times" w:cs="Times New Roman"/>
          <w:sz w:val="20"/>
          <w:szCs w:val="20"/>
        </w:rPr>
        <w:t>patients</w:t>
      </w:r>
      <w:proofErr w:type="gramEnd"/>
      <w:r w:rsidRPr="005569B5">
        <w:rPr>
          <w:rFonts w:ascii="Times" w:hAnsi="Times" w:cs="Times New Roman"/>
          <w:sz w:val="20"/>
          <w:szCs w:val="20"/>
        </w:rPr>
        <w:t xml:space="preserve"> should be cautioned about increased risk of bleeding when </w:t>
      </w:r>
      <w:proofErr w:type="spellStart"/>
      <w:r w:rsidRPr="005569B5">
        <w:rPr>
          <w:rFonts w:ascii="Times" w:hAnsi="Times" w:cs="Times New Roman"/>
          <w:sz w:val="20"/>
          <w:szCs w:val="20"/>
        </w:rPr>
        <w:t>vortioxetine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 is </w:t>
      </w:r>
      <w:proofErr w:type="spellStart"/>
      <w:r w:rsidRPr="005569B5">
        <w:rPr>
          <w:rFonts w:ascii="Times" w:hAnsi="Times" w:cs="Times New Roman"/>
          <w:sz w:val="20"/>
          <w:szCs w:val="20"/>
        </w:rPr>
        <w:t>coadministered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 with </w:t>
      </w:r>
      <w:proofErr w:type="spellStart"/>
      <w:r w:rsidRPr="005569B5">
        <w:rPr>
          <w:rFonts w:ascii="Times" w:hAnsi="Times" w:cs="Times New Roman"/>
          <w:sz w:val="20"/>
          <w:szCs w:val="20"/>
        </w:rPr>
        <w:t>nonsteroidal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 anti-inflammatory drugs (NSAIDs), aspirin, or other drugs that affect coagulation</w:t>
      </w:r>
    </w:p>
    <w:p w14:paraId="3E67330F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 xml:space="preserve">Increases risk of hyponatremia and cognitive impairment especially in the elderly or volume depleted patients; hyponatremia can occur in association with the syndrome of inappropriate antidiuretic hormone secretion (SIADH) </w:t>
      </w:r>
    </w:p>
    <w:p w14:paraId="181EAE14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Angioedema reported with use</w:t>
      </w:r>
    </w:p>
    <w:p w14:paraId="6C08F0C2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Seizures reported; use caution in patients with history of seizure disorders or conditions predisposing to seizures</w:t>
      </w:r>
    </w:p>
    <w:p w14:paraId="2E0924DC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 xml:space="preserve">Risk of </w:t>
      </w:r>
      <w:proofErr w:type="spellStart"/>
      <w:r w:rsidRPr="005569B5">
        <w:rPr>
          <w:rFonts w:ascii="Times" w:hAnsi="Times" w:cs="Times New Roman"/>
          <w:sz w:val="20"/>
          <w:szCs w:val="20"/>
        </w:rPr>
        <w:t>mydriasis</w:t>
      </w:r>
      <w:proofErr w:type="spellEnd"/>
      <w:r w:rsidRPr="005569B5">
        <w:rPr>
          <w:rFonts w:ascii="Times" w:hAnsi="Times" w:cs="Times New Roman"/>
          <w:sz w:val="20"/>
          <w:szCs w:val="20"/>
        </w:rPr>
        <w:t xml:space="preserve">; may trigger angle closure attack in patients with angle closure glaucoma with anatomically narrow angles without a patent </w:t>
      </w:r>
      <w:proofErr w:type="spellStart"/>
      <w:r w:rsidRPr="005569B5">
        <w:rPr>
          <w:rFonts w:ascii="Times" w:hAnsi="Times" w:cs="Times New Roman"/>
          <w:sz w:val="20"/>
          <w:szCs w:val="20"/>
        </w:rPr>
        <w:t>iridectomy</w:t>
      </w:r>
      <w:proofErr w:type="spellEnd"/>
    </w:p>
    <w:p w14:paraId="2FD7D26E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Bone fractures reported with antidepressant treatment; consider possibility of fracture if antidepressant-treated patient presents with unexplained bone pain</w:t>
      </w:r>
    </w:p>
    <w:p w14:paraId="05B09CE2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Use not recommended in severe hepatic impairment</w:t>
      </w:r>
    </w:p>
    <w:p w14:paraId="637F3230" w14:textId="77777777" w:rsid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Discontinuation syndrome may occur with abrupt discontinuation; symptoms may include nausea, vomiting, diminished appetite, tremors, chills diarrhea, headaches, lightheadedness, fatigue, sleep disturbances (</w:t>
      </w:r>
      <w:proofErr w:type="spellStart"/>
      <w:r w:rsidRPr="005569B5">
        <w:rPr>
          <w:rFonts w:ascii="Times" w:hAnsi="Times" w:cs="Times New Roman"/>
          <w:sz w:val="20"/>
          <w:szCs w:val="20"/>
        </w:rPr>
        <w:t>ie</w:t>
      </w:r>
      <w:proofErr w:type="spellEnd"/>
      <w:r w:rsidRPr="005569B5">
        <w:rPr>
          <w:rFonts w:ascii="Times" w:hAnsi="Times" w:cs="Times New Roman"/>
          <w:sz w:val="20"/>
          <w:szCs w:val="20"/>
        </w:rPr>
        <w:t>, insomnia, vivid dreams), and somnolence</w:t>
      </w:r>
    </w:p>
    <w:p w14:paraId="21B53C19" w14:textId="77777777" w:rsid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0CF4AB2" w14:textId="77777777" w:rsidR="005569B5" w:rsidRDefault="005569B5" w:rsidP="005569B5">
      <w:pPr>
        <w:pStyle w:val="Heading4"/>
        <w:spacing w:before="2" w:after="2"/>
      </w:pPr>
      <w:r>
        <w:t>Contraindicated (8)</w:t>
      </w:r>
    </w:p>
    <w:p w14:paraId="6B7170AB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isocarboxazid</w:t>
      </w:r>
      <w:proofErr w:type="spellEnd"/>
      <w:proofErr w:type="gramEnd"/>
    </w:p>
    <w:p w14:paraId="79FC406F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gramStart"/>
      <w:r>
        <w:t>linezolid</w:t>
      </w:r>
      <w:proofErr w:type="gramEnd"/>
    </w:p>
    <w:p w14:paraId="5D40ED51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gramStart"/>
      <w:r>
        <w:t>methylene</w:t>
      </w:r>
      <w:proofErr w:type="gramEnd"/>
      <w:r>
        <w:t xml:space="preserve"> blue</w:t>
      </w:r>
    </w:p>
    <w:p w14:paraId="1EDD142B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phenelzine</w:t>
      </w:r>
      <w:proofErr w:type="spellEnd"/>
      <w:proofErr w:type="gramEnd"/>
    </w:p>
    <w:p w14:paraId="225B8400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rasagiline</w:t>
      </w:r>
      <w:proofErr w:type="spellEnd"/>
      <w:proofErr w:type="gramEnd"/>
    </w:p>
    <w:p w14:paraId="2BE3A754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selegiline</w:t>
      </w:r>
      <w:proofErr w:type="spellEnd"/>
      <w:proofErr w:type="gramEnd"/>
    </w:p>
    <w:p w14:paraId="57970540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spellStart"/>
      <w:proofErr w:type="gramStart"/>
      <w:r>
        <w:t>selegiline</w:t>
      </w:r>
      <w:proofErr w:type="spellEnd"/>
      <w:proofErr w:type="gramEnd"/>
      <w:r>
        <w:t xml:space="preserve"> transdermal</w:t>
      </w:r>
    </w:p>
    <w:p w14:paraId="57B149E1" w14:textId="77777777" w:rsidR="005569B5" w:rsidRDefault="005569B5" w:rsidP="005569B5">
      <w:pPr>
        <w:numPr>
          <w:ilvl w:val="0"/>
          <w:numId w:val="3"/>
        </w:numPr>
        <w:spacing w:beforeLines="1" w:before="2" w:afterLines="1" w:after="2"/>
      </w:pPr>
      <w:proofErr w:type="gramStart"/>
      <w:r>
        <w:t>tranylcypromine</w:t>
      </w:r>
      <w:proofErr w:type="gramEnd"/>
    </w:p>
    <w:p w14:paraId="476C3094" w14:textId="77777777" w:rsidR="005569B5" w:rsidRDefault="005569B5" w:rsidP="005569B5">
      <w:pPr>
        <w:spacing w:beforeLines="1" w:before="2" w:afterLines="1" w:after="2"/>
      </w:pPr>
    </w:p>
    <w:p w14:paraId="1C907090" w14:textId="77777777" w:rsidR="005569B5" w:rsidRPr="005569B5" w:rsidRDefault="005569B5" w:rsidP="005569B5">
      <w:pPr>
        <w:spacing w:beforeLines="1" w:before="2" w:afterLines="1" w:after="2"/>
        <w:outlineLvl w:val="1"/>
        <w:rPr>
          <w:rFonts w:ascii="Times" w:hAnsi="Times"/>
          <w:b/>
          <w:sz w:val="36"/>
          <w:szCs w:val="20"/>
        </w:rPr>
      </w:pPr>
      <w:r w:rsidRPr="005569B5">
        <w:rPr>
          <w:rFonts w:ascii="Times" w:hAnsi="Times"/>
          <w:b/>
          <w:sz w:val="36"/>
          <w:szCs w:val="20"/>
        </w:rPr>
        <w:t>Adverse Effects</w:t>
      </w:r>
    </w:p>
    <w:p w14:paraId="6C3B1322" w14:textId="77777777" w:rsidR="005569B5" w:rsidRPr="005569B5" w:rsidRDefault="005569B5" w:rsidP="005569B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5569B5">
        <w:rPr>
          <w:rFonts w:ascii="Times" w:hAnsi="Times"/>
          <w:b/>
          <w:sz w:val="27"/>
          <w:szCs w:val="20"/>
        </w:rPr>
        <w:t>&gt;10%</w:t>
      </w:r>
    </w:p>
    <w:p w14:paraId="315A02DA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Nausea (21-32%)</w:t>
      </w:r>
    </w:p>
    <w:p w14:paraId="652C36A4" w14:textId="77777777" w:rsidR="005569B5" w:rsidRPr="005569B5" w:rsidRDefault="005569B5" w:rsidP="005569B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r w:rsidRPr="005569B5">
        <w:rPr>
          <w:rFonts w:ascii="Times" w:hAnsi="Times"/>
          <w:b/>
          <w:sz w:val="27"/>
          <w:szCs w:val="20"/>
        </w:rPr>
        <w:t>1-10%</w:t>
      </w:r>
    </w:p>
    <w:p w14:paraId="6C391C6C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Diarrhea (7-10%)</w:t>
      </w:r>
    </w:p>
    <w:p w14:paraId="66045C2F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Dizziness (6-9%)</w:t>
      </w:r>
    </w:p>
    <w:p w14:paraId="50516824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Dry mouth (6-8%)</w:t>
      </w:r>
    </w:p>
    <w:p w14:paraId="5E150A96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Constipation (3-6%)</w:t>
      </w:r>
    </w:p>
    <w:p w14:paraId="684410B4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Vomiting (3-6%)</w:t>
      </w:r>
    </w:p>
    <w:p w14:paraId="1641BF08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Flatulence (1-3%)</w:t>
      </w:r>
    </w:p>
    <w:p w14:paraId="734A501F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Pruritus (1-3%)</w:t>
      </w:r>
    </w:p>
    <w:p w14:paraId="04F0BAA3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 xml:space="preserve">Abnormal dreams (&lt;1-3%) </w:t>
      </w:r>
    </w:p>
    <w:p w14:paraId="2234BEFB" w14:textId="77777777" w:rsidR="005569B5" w:rsidRPr="005569B5" w:rsidRDefault="005569B5" w:rsidP="005569B5">
      <w:pPr>
        <w:spacing w:beforeLines="1" w:before="2" w:afterLines="1" w:after="2"/>
        <w:outlineLvl w:val="2"/>
        <w:rPr>
          <w:rFonts w:ascii="Times" w:hAnsi="Times"/>
          <w:b/>
          <w:sz w:val="27"/>
          <w:szCs w:val="20"/>
        </w:rPr>
      </w:pPr>
      <w:proofErr w:type="spellStart"/>
      <w:r w:rsidRPr="005569B5">
        <w:rPr>
          <w:rFonts w:ascii="Times" w:hAnsi="Times"/>
          <w:b/>
          <w:sz w:val="27"/>
          <w:szCs w:val="20"/>
        </w:rPr>
        <w:t>Postmarketing</w:t>
      </w:r>
      <w:proofErr w:type="spellEnd"/>
      <w:r w:rsidRPr="005569B5">
        <w:rPr>
          <w:rFonts w:ascii="Times" w:hAnsi="Times"/>
          <w:b/>
          <w:sz w:val="27"/>
          <w:szCs w:val="20"/>
        </w:rPr>
        <w:t xml:space="preserve"> Reports</w:t>
      </w:r>
      <w:r w:rsidR="00F2628F">
        <w:rPr>
          <w:rFonts w:ascii="Times" w:hAnsi="Times"/>
          <w:b/>
          <w:sz w:val="27"/>
          <w:szCs w:val="20"/>
        </w:rPr>
        <w:t xml:space="preserve"> (rare but to be aware)</w:t>
      </w:r>
      <w:bookmarkStart w:id="0" w:name="_GoBack"/>
      <w:bookmarkEnd w:id="0"/>
    </w:p>
    <w:p w14:paraId="5C8F6CC3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Weight gain</w:t>
      </w:r>
    </w:p>
    <w:p w14:paraId="054C5CEB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  <w:r w:rsidRPr="005569B5">
        <w:rPr>
          <w:rFonts w:ascii="Times" w:hAnsi="Times" w:cs="Times New Roman"/>
          <w:sz w:val="20"/>
          <w:szCs w:val="20"/>
        </w:rPr>
        <w:t>Acute pancreatitis</w:t>
      </w:r>
    </w:p>
    <w:p w14:paraId="5D95624F" w14:textId="77777777" w:rsidR="005569B5" w:rsidRDefault="005569B5" w:rsidP="005569B5">
      <w:pPr>
        <w:spacing w:beforeLines="1" w:before="2" w:afterLines="1" w:after="2"/>
      </w:pPr>
    </w:p>
    <w:p w14:paraId="46E960B8" w14:textId="77777777" w:rsidR="005569B5" w:rsidRPr="005569B5" w:rsidRDefault="005569B5" w:rsidP="005569B5">
      <w:pPr>
        <w:pStyle w:val="ListParagraph"/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2303B87" w14:textId="77777777" w:rsidR="005569B5" w:rsidRDefault="005569B5" w:rsidP="005569B5">
      <w:pPr>
        <w:spacing w:beforeLines="1" w:before="2" w:afterLines="1" w:after="2"/>
        <w:ind w:left="360"/>
      </w:pPr>
    </w:p>
    <w:p w14:paraId="0F6864DD" w14:textId="77777777" w:rsidR="005569B5" w:rsidRPr="005569B5" w:rsidRDefault="005569B5" w:rsidP="005569B5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2F23C51" w14:textId="77777777" w:rsidR="00360EFE" w:rsidRPr="00360EFE" w:rsidRDefault="00360EFE" w:rsidP="00547C5F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200CB97" w14:textId="77777777" w:rsidR="008D4225" w:rsidRDefault="00F2628F"/>
    <w:sectPr w:rsidR="008D4225" w:rsidSect="008D42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1DC"/>
    <w:multiLevelType w:val="multilevel"/>
    <w:tmpl w:val="C83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B4B28"/>
    <w:multiLevelType w:val="multilevel"/>
    <w:tmpl w:val="E50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44C5"/>
    <w:multiLevelType w:val="multilevel"/>
    <w:tmpl w:val="1AC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FE"/>
    <w:rsid w:val="00360EFE"/>
    <w:rsid w:val="003D4762"/>
    <w:rsid w:val="00547C5F"/>
    <w:rsid w:val="005569B5"/>
    <w:rsid w:val="007329AD"/>
    <w:rsid w:val="00F26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C9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360EF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360EF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EFE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0EFE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60EFE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ect2title">
    <w:name w:val="sect2title"/>
    <w:basedOn w:val="Normal"/>
    <w:rsid w:val="005569B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6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569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rsid w:val="00360EF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360EF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EFE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0EFE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60EFE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ect2title">
    <w:name w:val="sect2title"/>
    <w:basedOn w:val="Normal"/>
    <w:rsid w:val="005569B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6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569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DR18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4590</Characters>
  <Application>Microsoft Macintosh Word</Application>
  <DocSecurity>0</DocSecurity>
  <Lines>38</Lines>
  <Paragraphs>10</Paragraphs>
  <ScaleCrop>false</ScaleCrop>
  <Company>Sheri Spirt, M.D.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cp:lastModifiedBy>sheri Spirt</cp:lastModifiedBy>
  <cp:revision>3</cp:revision>
  <cp:lastPrinted>2016-10-27T15:49:00Z</cp:lastPrinted>
  <dcterms:created xsi:type="dcterms:W3CDTF">2017-01-01T20:57:00Z</dcterms:created>
  <dcterms:modified xsi:type="dcterms:W3CDTF">2017-01-01T20:57:00Z</dcterms:modified>
</cp:coreProperties>
</file>