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DC" w:rsidRDefault="00A979DC" w:rsidP="00EA47A3">
      <w:pPr>
        <w:jc w:val="center"/>
        <w:rPr>
          <w:sz w:val="28"/>
        </w:rPr>
      </w:pPr>
      <w:r w:rsidRPr="003D2CC4">
        <w:rPr>
          <w:sz w:val="28"/>
        </w:rPr>
        <w:t>SHERI SPIRT, M.D.</w:t>
      </w:r>
    </w:p>
    <w:p w:rsidR="00A979DC" w:rsidRDefault="00A979DC" w:rsidP="00EA47A3">
      <w:pPr>
        <w:jc w:val="center"/>
      </w:pPr>
      <w:r>
        <w:t>PSYCHIATRY</w:t>
      </w:r>
    </w:p>
    <w:p w:rsidR="00A979DC" w:rsidRDefault="00A979DC" w:rsidP="00EA47A3">
      <w:pPr>
        <w:jc w:val="center"/>
      </w:pPr>
      <w:r>
        <w:t>16 East 96</w:t>
      </w:r>
      <w:r w:rsidRPr="002A6B06">
        <w:rPr>
          <w:vertAlign w:val="superscript"/>
        </w:rPr>
        <w:t>th</w:t>
      </w:r>
      <w:r>
        <w:t xml:space="preserve"> Street Unit 1A</w:t>
      </w:r>
    </w:p>
    <w:p w:rsidR="00A979DC" w:rsidRDefault="00A979DC" w:rsidP="00EA47A3">
      <w:pPr>
        <w:jc w:val="center"/>
      </w:pPr>
      <w:r>
        <w:t>NEW YORK, N.Y. 10128</w:t>
      </w:r>
    </w:p>
    <w:p w:rsidR="00A979DC" w:rsidRDefault="00A979DC" w:rsidP="00EA47A3">
      <w:pPr>
        <w:jc w:val="center"/>
      </w:pPr>
      <w:r>
        <w:t>(212) 595-6901</w:t>
      </w:r>
    </w:p>
    <w:p w:rsidR="00A979DC" w:rsidRDefault="00A979DC" w:rsidP="00EA47A3">
      <w:pPr>
        <w:jc w:val="center"/>
      </w:pPr>
      <w:hyperlink r:id="rId5" w:history="1">
        <w:r w:rsidRPr="00A83CF6">
          <w:rPr>
            <w:rStyle w:val="Hyperlink"/>
          </w:rPr>
          <w:t>SSDR18@AOL.COM</w:t>
        </w:r>
      </w:hyperlink>
    </w:p>
    <w:p w:rsidR="00A979DC" w:rsidRPr="003D2CC4" w:rsidRDefault="00A979DC" w:rsidP="00EA47A3">
      <w:pPr>
        <w:jc w:val="center"/>
      </w:pPr>
      <w:r>
        <w:t>WWW.DRSHERISPIRT.COM</w:t>
      </w:r>
    </w:p>
    <w:p w:rsidR="00A979DC" w:rsidRPr="000F1731" w:rsidRDefault="00A979DC">
      <w:pPr>
        <w:rPr>
          <w:b/>
          <w:sz w:val="32"/>
          <w:u w:val="single"/>
        </w:rPr>
      </w:pPr>
      <w:r w:rsidRPr="000F1731">
        <w:rPr>
          <w:b/>
          <w:sz w:val="32"/>
          <w:u w:val="single"/>
        </w:rPr>
        <w:t>Geodon</w:t>
      </w:r>
    </w:p>
    <w:p w:rsidR="00A979DC" w:rsidRPr="00A979DC" w:rsidRDefault="00A979DC" w:rsidP="00A979DC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A979DC">
        <w:rPr>
          <w:rFonts w:ascii="Times" w:hAnsi="Times"/>
          <w:b/>
          <w:sz w:val="27"/>
          <w:szCs w:val="20"/>
        </w:rPr>
        <w:t>Schizophrenia</w:t>
      </w: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20 mg PO q12hr with food initially; may be increased every other day PRN; not to exceed 80 mg q12hr</w:t>
      </w: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Periodically assess need for maintenance; clinical trials have documented no added benefit with doses above 20 mg q12hr</w:t>
      </w:r>
    </w:p>
    <w:p w:rsidR="00A979DC" w:rsidRPr="00A979DC" w:rsidRDefault="00A979DC" w:rsidP="00A979DC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A979DC">
        <w:rPr>
          <w:rFonts w:ascii="Times" w:hAnsi="Times"/>
          <w:b/>
          <w:sz w:val="27"/>
          <w:szCs w:val="20"/>
        </w:rPr>
        <w:t>Acute Agitation With Schizophrenia</w:t>
      </w: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IM: 10 mg q2hr or 20 mg q4hr; not to exceed 40 mg/day; use IM for up to 3 days, and switch to PO if continuing past this time</w:t>
      </w:r>
    </w:p>
    <w:p w:rsidR="00A979DC" w:rsidRPr="00A979DC" w:rsidRDefault="00A979DC" w:rsidP="00A979DC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A979DC">
        <w:rPr>
          <w:rFonts w:ascii="Times" w:hAnsi="Times"/>
          <w:b/>
          <w:sz w:val="27"/>
          <w:szCs w:val="20"/>
        </w:rPr>
        <w:t>Bipolar I Disorder</w:t>
      </w: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Acute treatment of manic or mixed episodes; maintenance therapy as adjunct to lithium or valproate</w:t>
      </w: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Acute treatment: 40 mg PO q12hr with food initially; on day 2, may be increased if necessary to 60-80 mg PO q12hr; adjust dose according to tolerance and efficacy within range of 40-80 mg q12hr</w:t>
      </w: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Maintenance: Continue at same dose at which patient was initially stabilized; periodically reassess need for maintenance therapy</w:t>
      </w:r>
    </w:p>
    <w:p w:rsidR="00A979DC" w:rsidRPr="00A979DC" w:rsidRDefault="00A979DC" w:rsidP="00A979DC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A979DC">
        <w:rPr>
          <w:rFonts w:ascii="Times" w:hAnsi="Times"/>
          <w:b/>
          <w:sz w:val="27"/>
          <w:szCs w:val="20"/>
        </w:rPr>
        <w:t>Dosing Modifications</w:t>
      </w: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Renal impairment: Dose adjustment not necessary with PO administration; caution required with IM administration</w:t>
      </w:r>
    </w:p>
    <w:p w:rsidR="00A979DC" w:rsidRDefault="00A979DC" w:rsidP="00A979D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979DC">
        <w:rPr>
          <w:rFonts w:ascii="Times" w:hAnsi="Times" w:cs="Times New Roman"/>
          <w:sz w:val="20"/>
          <w:szCs w:val="20"/>
        </w:rPr>
        <w:t>Hepatic impairment: Use caution; drug undergoes extensive hepatic metabolism, which can increase systemic exposure</w:t>
      </w:r>
    </w:p>
    <w:p w:rsidR="00A979DC" w:rsidRPr="000F1731" w:rsidRDefault="00A979DC" w:rsidP="00A979DC">
      <w:pPr>
        <w:pStyle w:val="Heading2"/>
        <w:spacing w:before="2" w:after="2"/>
        <w:rPr>
          <w:sz w:val="28"/>
          <w:u w:val="single"/>
        </w:rPr>
      </w:pPr>
      <w:r w:rsidRPr="000F1731">
        <w:rPr>
          <w:sz w:val="28"/>
          <w:u w:val="single"/>
        </w:rPr>
        <w:t>Pharmacology</w:t>
      </w:r>
    </w:p>
    <w:p w:rsidR="00A979DC" w:rsidRDefault="00A979DC" w:rsidP="00A979DC">
      <w:pPr>
        <w:pStyle w:val="Heading3"/>
        <w:spacing w:before="2" w:after="2"/>
      </w:pPr>
      <w:r>
        <w:t>Mechanism of Action</w:t>
      </w:r>
    </w:p>
    <w:p w:rsidR="00A979DC" w:rsidRDefault="00A979DC" w:rsidP="00A979DC">
      <w:pPr>
        <w:pStyle w:val="NormalWeb"/>
        <w:spacing w:before="2" w:after="2"/>
      </w:pPr>
      <w:r>
        <w:t>Acts as antagonist at dopamine D2 and serotonin type 1 and 2 (5HT1D, 5HT2A) receptors; acts as agonist at serotonin 5HT1A receptor; moderately inhibits reuptake of norepinephrine and serotonin; has alpha-blocking and antihistaminic activity</w:t>
      </w:r>
    </w:p>
    <w:p w:rsidR="00A979DC" w:rsidRDefault="00A979DC" w:rsidP="00A979DC">
      <w:pPr>
        <w:pStyle w:val="Heading3"/>
        <w:spacing w:before="2" w:after="2"/>
      </w:pPr>
      <w:r>
        <w:t>Absorption</w:t>
      </w:r>
    </w:p>
    <w:p w:rsidR="00A979DC" w:rsidRDefault="00A979DC" w:rsidP="00A979DC">
      <w:pPr>
        <w:pStyle w:val="NormalWeb"/>
        <w:spacing w:before="2" w:after="2"/>
      </w:pPr>
      <w:r>
        <w:t>Bioavailability: 60% (PO); 100% (IM)</w:t>
      </w:r>
    </w:p>
    <w:p w:rsidR="00A979DC" w:rsidRDefault="00A979DC" w:rsidP="00A979DC">
      <w:pPr>
        <w:pStyle w:val="NormalWeb"/>
        <w:spacing w:before="2" w:after="2"/>
      </w:pPr>
      <w:r>
        <w:t>Peak plasma time: 6-8 hr (PO); ≤60 min (IM)</w:t>
      </w:r>
    </w:p>
    <w:p w:rsidR="00A979DC" w:rsidRDefault="00A979DC" w:rsidP="00A979DC">
      <w:pPr>
        <w:pStyle w:val="Heading3"/>
        <w:spacing w:before="2" w:after="2"/>
      </w:pPr>
      <w:r>
        <w:t>Distribution</w:t>
      </w:r>
    </w:p>
    <w:p w:rsidR="00A979DC" w:rsidRDefault="00A979DC" w:rsidP="00A979DC">
      <w:pPr>
        <w:pStyle w:val="NormalWeb"/>
        <w:spacing w:before="2" w:after="2"/>
      </w:pPr>
      <w:r>
        <w:t>Protein bound: 99%</w:t>
      </w:r>
    </w:p>
    <w:p w:rsidR="00A979DC" w:rsidRDefault="00A979DC" w:rsidP="00A979DC">
      <w:pPr>
        <w:pStyle w:val="NormalWeb"/>
        <w:spacing w:before="2" w:after="2"/>
      </w:pPr>
      <w:r>
        <w:t>Vd: 1.5 L/kg</w:t>
      </w:r>
    </w:p>
    <w:p w:rsidR="00A979DC" w:rsidRDefault="00A979DC" w:rsidP="00A979DC">
      <w:pPr>
        <w:pStyle w:val="Heading3"/>
        <w:spacing w:before="2" w:after="2"/>
      </w:pPr>
      <w:r>
        <w:t>Metabolism</w:t>
      </w:r>
    </w:p>
    <w:p w:rsidR="00A979DC" w:rsidRDefault="00A979DC" w:rsidP="00A979DC">
      <w:pPr>
        <w:pStyle w:val="NormalWeb"/>
        <w:spacing w:before="2" w:after="2"/>
      </w:pPr>
      <w:r>
        <w:t>Metabolized in liver by CYP3A4 (major) and CYP1A2 (minor)</w:t>
      </w:r>
    </w:p>
    <w:p w:rsidR="00A979DC" w:rsidRDefault="00A979DC" w:rsidP="00A979DC">
      <w:pPr>
        <w:pStyle w:val="Heading3"/>
        <w:spacing w:before="2" w:after="2"/>
      </w:pPr>
      <w:r>
        <w:t>Elimination</w:t>
      </w:r>
    </w:p>
    <w:p w:rsidR="00A979DC" w:rsidRDefault="00A979DC" w:rsidP="00A979DC">
      <w:pPr>
        <w:pStyle w:val="NormalWeb"/>
        <w:spacing w:before="2" w:after="2"/>
      </w:pPr>
      <w:r>
        <w:t>Half-life: 7 hr (PO); 2-5 hr (IM)</w:t>
      </w:r>
    </w:p>
    <w:p w:rsidR="00A979DC" w:rsidRDefault="00A979DC" w:rsidP="00A979DC">
      <w:pPr>
        <w:pStyle w:val="NormalWeb"/>
        <w:spacing w:before="2" w:after="2"/>
      </w:pPr>
      <w:r>
        <w:t>Total body clearance: 7.5 mL/min/kg</w:t>
      </w:r>
    </w:p>
    <w:p w:rsidR="00A979DC" w:rsidRDefault="00A979DC" w:rsidP="00A979DC">
      <w:pPr>
        <w:pStyle w:val="NormalWeb"/>
        <w:spacing w:before="2" w:after="2"/>
      </w:pPr>
      <w:r>
        <w:t>Excretion: Feces (66%), urine (20%)</w:t>
      </w:r>
    </w:p>
    <w:p w:rsidR="00A979DC" w:rsidRDefault="00A979DC" w:rsidP="00A979DC">
      <w:pPr>
        <w:pStyle w:val="Heading2"/>
        <w:spacing w:before="2" w:after="2"/>
      </w:pPr>
      <w:r>
        <w:t>Adverse Effects</w:t>
      </w:r>
    </w:p>
    <w:p w:rsidR="00A979DC" w:rsidRDefault="00A979DC" w:rsidP="00A979DC">
      <w:pPr>
        <w:pStyle w:val="Heading3"/>
        <w:spacing w:before="2" w:after="2"/>
      </w:pPr>
      <w:r>
        <w:t>&gt;10%</w:t>
      </w:r>
    </w:p>
    <w:p w:rsidR="00A979DC" w:rsidRDefault="00A979DC" w:rsidP="00A979DC">
      <w:pPr>
        <w:pStyle w:val="NormalWeb"/>
        <w:spacing w:before="2" w:after="2"/>
      </w:pPr>
      <w:r>
        <w:t>Somnolence (11-15%)</w:t>
      </w:r>
    </w:p>
    <w:p w:rsidR="00A979DC" w:rsidRDefault="00A979DC" w:rsidP="00A979DC">
      <w:pPr>
        <w:pStyle w:val="NormalWeb"/>
        <w:spacing w:before="2" w:after="2"/>
      </w:pPr>
      <w:r>
        <w:t>Headache (11%)</w:t>
      </w:r>
    </w:p>
    <w:p w:rsidR="00A979DC" w:rsidRDefault="00A979DC" w:rsidP="00A979DC">
      <w:pPr>
        <w:pStyle w:val="NormalWeb"/>
        <w:spacing w:before="2" w:after="2"/>
      </w:pPr>
      <w:r>
        <w:t>Nausea (4-12%)</w:t>
      </w:r>
    </w:p>
    <w:p w:rsidR="00A979DC" w:rsidRDefault="00A979DC" w:rsidP="00A979DC">
      <w:pPr>
        <w:pStyle w:val="NormalWeb"/>
        <w:spacing w:before="2" w:after="2"/>
      </w:pPr>
      <w:r>
        <w:t>Extrapyramidal symptoms (2-31%)</w:t>
      </w:r>
    </w:p>
    <w:p w:rsidR="00A979DC" w:rsidRDefault="00A979DC" w:rsidP="00A979DC">
      <w:pPr>
        <w:pStyle w:val="NormalWeb"/>
        <w:spacing w:before="2" w:after="2"/>
      </w:pPr>
      <w:r>
        <w:t>Dizziness (3-16%)</w:t>
      </w:r>
    </w:p>
    <w:p w:rsidR="00A979DC" w:rsidRDefault="00A979DC" w:rsidP="00A979DC">
      <w:pPr>
        <w:pStyle w:val="Heading3"/>
        <w:spacing w:before="2" w:after="2"/>
      </w:pPr>
      <w:r>
        <w:t>1-10%</w:t>
      </w:r>
    </w:p>
    <w:p w:rsidR="00A979DC" w:rsidRDefault="00A979DC" w:rsidP="00A979DC">
      <w:pPr>
        <w:pStyle w:val="NormalWeb"/>
        <w:spacing w:before="2" w:after="2"/>
      </w:pPr>
      <w:r>
        <w:t>Respiratory disorders (1-8%)</w:t>
      </w:r>
    </w:p>
    <w:p w:rsidR="00A979DC" w:rsidRDefault="00A979DC" w:rsidP="00A979DC">
      <w:pPr>
        <w:pStyle w:val="NormalWeb"/>
        <w:spacing w:before="2" w:after="2"/>
      </w:pPr>
      <w:r>
        <w:t>Constipation (2-9%)</w:t>
      </w:r>
    </w:p>
    <w:p w:rsidR="00A979DC" w:rsidRDefault="00A979DC" w:rsidP="00A979DC">
      <w:pPr>
        <w:pStyle w:val="NormalWeb"/>
        <w:spacing w:before="2" w:after="2"/>
      </w:pPr>
      <w:r>
        <w:t>Dyspepsia (1-8%)</w:t>
      </w:r>
    </w:p>
    <w:p w:rsidR="00A979DC" w:rsidRDefault="00A979DC" w:rsidP="00A979DC">
      <w:pPr>
        <w:pStyle w:val="NormalWeb"/>
        <w:spacing w:before="2" w:after="2"/>
      </w:pPr>
      <w:r>
        <w:t>Rash (4-5%)</w:t>
      </w:r>
    </w:p>
    <w:p w:rsidR="00A979DC" w:rsidRDefault="00A979DC" w:rsidP="00A979DC">
      <w:pPr>
        <w:pStyle w:val="NormalWeb"/>
        <w:spacing w:before="2" w:after="2"/>
      </w:pPr>
      <w:r>
        <w:t>Tachycardia (2%)</w:t>
      </w:r>
    </w:p>
    <w:p w:rsidR="00A979DC" w:rsidRDefault="00A979DC" w:rsidP="00A979DC">
      <w:pPr>
        <w:pStyle w:val="NormalWeb"/>
        <w:spacing w:before="2" w:after="2"/>
      </w:pPr>
      <w:r>
        <w:t>Hypoesthesia (2%)</w:t>
      </w:r>
    </w:p>
    <w:p w:rsidR="00A979DC" w:rsidRDefault="00A979DC" w:rsidP="00A979DC">
      <w:pPr>
        <w:pStyle w:val="NormalWeb"/>
        <w:spacing w:before="2" w:after="2"/>
      </w:pPr>
      <w:r>
        <w:t>Priapism (1%)</w:t>
      </w:r>
    </w:p>
    <w:p w:rsidR="00A979DC" w:rsidRDefault="00A979DC" w:rsidP="00A979DC">
      <w:pPr>
        <w:pStyle w:val="NormalWeb"/>
        <w:spacing w:before="2" w:after="2"/>
      </w:pPr>
      <w:r>
        <w:t>Orthostatic hypotension (5%)</w:t>
      </w:r>
    </w:p>
    <w:p w:rsidR="00A979DC" w:rsidRDefault="00A979DC" w:rsidP="00A979DC">
      <w:pPr>
        <w:pStyle w:val="NormalWeb"/>
        <w:spacing w:before="2" w:after="2"/>
      </w:pPr>
      <w:r>
        <w:t>Xerostomia (1-5%)</w:t>
      </w:r>
    </w:p>
    <w:p w:rsidR="00A979DC" w:rsidRDefault="00A979DC" w:rsidP="00A979DC">
      <w:pPr>
        <w:pStyle w:val="NormalWeb"/>
        <w:spacing w:before="2" w:after="2"/>
      </w:pPr>
      <w:r>
        <w:t>Anorexia (2%)</w:t>
      </w:r>
    </w:p>
    <w:p w:rsidR="00A979DC" w:rsidRDefault="00A979DC" w:rsidP="00A979DC">
      <w:pPr>
        <w:pStyle w:val="NormalWeb"/>
        <w:spacing w:before="2" w:after="2"/>
      </w:pPr>
      <w:r>
        <w:t>Myalgia (2%)</w:t>
      </w:r>
    </w:p>
    <w:p w:rsidR="00A979DC" w:rsidRDefault="00A979DC" w:rsidP="00A979DC">
      <w:pPr>
        <w:pStyle w:val="NormalWeb"/>
        <w:spacing w:before="2" w:after="2"/>
      </w:pPr>
      <w:r>
        <w:t>Rhinitis (1-4%)</w:t>
      </w:r>
    </w:p>
    <w:p w:rsidR="00A979DC" w:rsidRDefault="00A979DC" w:rsidP="00A979DC">
      <w:pPr>
        <w:pStyle w:val="NormalWeb"/>
        <w:spacing w:before="2" w:after="2"/>
      </w:pPr>
      <w:r>
        <w:t>Cough (3%)</w:t>
      </w:r>
    </w:p>
    <w:p w:rsidR="00A979DC" w:rsidRDefault="00A979DC" w:rsidP="00A979DC">
      <w:pPr>
        <w:pStyle w:val="Heading3"/>
        <w:spacing w:before="2" w:after="2"/>
      </w:pPr>
      <w:r>
        <w:t>&lt;1%</w:t>
      </w:r>
    </w:p>
    <w:p w:rsidR="00A979DC" w:rsidRDefault="00A979DC" w:rsidP="00A979DC">
      <w:pPr>
        <w:pStyle w:val="NormalWeb"/>
        <w:spacing w:before="2" w:after="2"/>
      </w:pPr>
      <w:r>
        <w:t>Syncope</w:t>
      </w:r>
    </w:p>
    <w:p w:rsidR="00A979DC" w:rsidRDefault="00A979DC" w:rsidP="00A979DC">
      <w:pPr>
        <w:pStyle w:val="NormalWeb"/>
        <w:spacing w:before="2" w:after="2"/>
      </w:pPr>
      <w:r>
        <w:t>Seizures</w:t>
      </w:r>
    </w:p>
    <w:p w:rsidR="00A979DC" w:rsidRDefault="00A979DC" w:rsidP="00A979DC">
      <w:pPr>
        <w:pStyle w:val="Heading3"/>
        <w:spacing w:before="2" w:after="2"/>
      </w:pPr>
      <w:r>
        <w:t>Frequency Not Defined</w:t>
      </w:r>
    </w:p>
    <w:p w:rsidR="00A979DC" w:rsidRDefault="00A979DC" w:rsidP="00A979DC">
      <w:pPr>
        <w:pStyle w:val="NormalWeb"/>
        <w:spacing w:before="2" w:after="2"/>
      </w:pPr>
      <w:r>
        <w:t>Prolongation of QT interval</w:t>
      </w:r>
    </w:p>
    <w:p w:rsidR="00A979DC" w:rsidRDefault="00A979DC" w:rsidP="00A979DC">
      <w:pPr>
        <w:pStyle w:val="NormalWeb"/>
        <w:spacing w:before="2" w:after="2"/>
      </w:pPr>
      <w:r>
        <w:t>Neuroleptic malignant syndrome (NMS)</w:t>
      </w:r>
    </w:p>
    <w:p w:rsidR="00A979DC" w:rsidRDefault="00A979DC" w:rsidP="00A979DC">
      <w:pPr>
        <w:pStyle w:val="NormalWeb"/>
        <w:spacing w:before="2" w:after="2"/>
      </w:pPr>
      <w:r>
        <w:t>Hyperprolactinemia</w:t>
      </w:r>
    </w:p>
    <w:p w:rsidR="00A979DC" w:rsidRDefault="00A979DC" w:rsidP="00A979DC">
      <w:pPr>
        <w:pStyle w:val="NormalWeb"/>
        <w:spacing w:before="2" w:after="2"/>
      </w:pPr>
      <w:r>
        <w:t>Drug reaction with eosinophilia and systemic syntoms</w:t>
      </w:r>
    </w:p>
    <w:p w:rsidR="00A979DC" w:rsidRDefault="00A979DC" w:rsidP="00A979DC">
      <w:pPr>
        <w:pStyle w:val="Heading3"/>
        <w:spacing w:before="2" w:after="2"/>
      </w:pPr>
      <w:r>
        <w:t>Postmarketing reports</w:t>
      </w:r>
    </w:p>
    <w:p w:rsidR="00A979DC" w:rsidRDefault="00A979DC" w:rsidP="00A979DC">
      <w:pPr>
        <w:pStyle w:val="NormalWeb"/>
        <w:spacing w:before="2" w:after="2"/>
      </w:pPr>
      <w:r>
        <w:t>Stevens-Johnson syndrome</w:t>
      </w:r>
    </w:p>
    <w:p w:rsidR="00A979DC" w:rsidRDefault="00A979DC" w:rsidP="00A979DC">
      <w:pPr>
        <w:pStyle w:val="Heading3"/>
        <w:spacing w:before="2" w:after="2"/>
      </w:pPr>
      <w:r>
        <w:t>Contraindications</w:t>
      </w:r>
    </w:p>
    <w:p w:rsidR="00A979DC" w:rsidRDefault="00A979DC" w:rsidP="00A979DC">
      <w:pPr>
        <w:pStyle w:val="NormalWeb"/>
        <w:spacing w:before="2" w:after="2"/>
      </w:pPr>
      <w:r>
        <w:t>Documented hypersensitivity</w:t>
      </w:r>
    </w:p>
    <w:p w:rsidR="00A979DC" w:rsidRDefault="00A979DC" w:rsidP="00A979DC">
      <w:pPr>
        <w:pStyle w:val="NormalWeb"/>
        <w:spacing w:before="2" w:after="2"/>
      </w:pPr>
      <w:r>
        <w:t>Any drugs or conditions that prolong QT interval</w:t>
      </w:r>
    </w:p>
    <w:p w:rsidR="00A979DC" w:rsidRDefault="00A979DC" w:rsidP="00A979DC">
      <w:pPr>
        <w:pStyle w:val="NormalWeb"/>
        <w:spacing w:before="2" w:after="2"/>
      </w:pPr>
      <w:r>
        <w:t>Recent acute myocardial infarction</w:t>
      </w:r>
    </w:p>
    <w:p w:rsidR="00A979DC" w:rsidRDefault="00A979DC" w:rsidP="00A979DC">
      <w:pPr>
        <w:pStyle w:val="NormalWeb"/>
        <w:spacing w:before="2" w:after="2"/>
      </w:pPr>
      <w:r>
        <w:t>Uncompensated heart failure</w:t>
      </w:r>
    </w:p>
    <w:p w:rsidR="00A979DC" w:rsidRPr="000F1731" w:rsidRDefault="00A979DC" w:rsidP="00A979DC">
      <w:pPr>
        <w:pStyle w:val="Heading3"/>
        <w:spacing w:before="2" w:after="2"/>
        <w:rPr>
          <w:u w:val="single"/>
        </w:rPr>
      </w:pPr>
      <w:r w:rsidRPr="000F1731">
        <w:rPr>
          <w:u w:val="single"/>
        </w:rPr>
        <w:t>Cautions</w:t>
      </w:r>
    </w:p>
    <w:p w:rsidR="00A979DC" w:rsidRDefault="00A979DC" w:rsidP="00A979DC">
      <w:pPr>
        <w:pStyle w:val="NormalWeb"/>
        <w:spacing w:before="2" w:after="2"/>
      </w:pPr>
      <w:r>
        <w:t>Seizure disorders; may cause hypotension, EPS, and somnolence</w:t>
      </w:r>
    </w:p>
    <w:p w:rsidR="00A979DC" w:rsidRDefault="00A979DC" w:rsidP="00A979DC">
      <w:pPr>
        <w:pStyle w:val="NormalWeb"/>
        <w:spacing w:before="2" w:after="2"/>
      </w:pPr>
      <w:r>
        <w:t xml:space="preserve">Atypical antipsychotics have been associated with metabolic changes (eg, hyperglycemia, dyslipidemia, and body weight gain) that may increase cardiovascular/cerebrovascular risk </w:t>
      </w:r>
    </w:p>
    <w:p w:rsidR="00A979DC" w:rsidRDefault="00A979DC" w:rsidP="00A979DC">
      <w:pPr>
        <w:pStyle w:val="NormalWeb"/>
        <w:spacing w:before="2" w:after="2"/>
      </w:pPr>
      <w:r>
        <w:t>Hyperglycemia may occur and in some cases may be extreme, resulting in ketoacidosis, hyperosmolar coma, or death; monitor blood glucose of high-risk patients</w:t>
      </w:r>
    </w:p>
    <w:p w:rsidR="00A979DC" w:rsidRDefault="00A979DC" w:rsidP="00A979DC">
      <w:pPr>
        <w:pStyle w:val="NormalWeb"/>
        <w:spacing w:before="2" w:after="2"/>
      </w:pPr>
      <w:r>
        <w:t xml:space="preserve">Neuroleptic malignant syndrome reported with antipsychotic drugs </w:t>
      </w:r>
    </w:p>
    <w:p w:rsidR="00A979DC" w:rsidRDefault="00A979DC" w:rsidP="00A979DC">
      <w:pPr>
        <w:pStyle w:val="NormalWeb"/>
        <w:spacing w:before="2" w:after="2"/>
      </w:pPr>
      <w:r>
        <w:t>Tardive dyskinesia, acute dystonic reactions, pseudoparkinsonism, or akathisia may develop acutely or chronically</w:t>
      </w:r>
    </w:p>
    <w:p w:rsidR="00A979DC" w:rsidRDefault="00A979DC" w:rsidP="00A979DC">
      <w:pPr>
        <w:pStyle w:val="NormalWeb"/>
        <w:spacing w:before="2" w:after="2"/>
      </w:pPr>
      <w:r>
        <w:t>Discontinue if rash develops without an identified cause</w:t>
      </w:r>
    </w:p>
    <w:p w:rsidR="00A979DC" w:rsidRDefault="00A979DC" w:rsidP="00A979DC">
      <w:pPr>
        <w:pStyle w:val="NormalWeb"/>
        <w:spacing w:before="2" w:after="2"/>
      </w:pPr>
      <w:r>
        <w:t>Drug reaction with eosinophilia and systemic symptoms (DRESS) reported; DRESS consists of combination of three or more of the following: cutaneous reaction (such as rash or exfoliative dermatitis), eosinophilia, fever, lymphadenopathy and one or more systemic complications such as hepatitis, nephritis, pneumonitis, myocarditis, and pericarditis; DRESS is sometimes fatal; discontinue therapy if DRESS suspected</w:t>
      </w:r>
    </w:p>
    <w:p w:rsidR="00A979DC" w:rsidRDefault="00A979DC" w:rsidP="00A979DC">
      <w:pPr>
        <w:pStyle w:val="NormalWeb"/>
        <w:spacing w:before="2" w:after="2"/>
      </w:pPr>
      <w:r>
        <w:t>Cutaneous adverse reactions, such as Stevens-Johnson syndrome, reported; severe cutaneous adverse reactions are sometimes fatal; discontinue therapy if suspected</w:t>
      </w:r>
    </w:p>
    <w:p w:rsidR="00A979DC" w:rsidRDefault="00A979DC" w:rsidP="00A979DC">
      <w:pPr>
        <w:pStyle w:val="NormalWeb"/>
        <w:spacing w:before="2" w:after="2"/>
      </w:pPr>
      <w:r>
        <w:t>Rare cases of priapism reported</w:t>
      </w:r>
    </w:p>
    <w:p w:rsidR="00A979DC" w:rsidRDefault="00A979DC" w:rsidP="00A979DC">
      <w:pPr>
        <w:pStyle w:val="NormalWeb"/>
        <w:spacing w:before="2" w:after="2"/>
      </w:pPr>
      <w:r>
        <w:t>FDA warning regarding off-label use for dementia in elderly (see Black Box Warnings)</w:t>
      </w:r>
    </w:p>
    <w:p w:rsidR="00A979DC" w:rsidRDefault="00A979DC" w:rsidP="00A979DC">
      <w:pPr>
        <w:pStyle w:val="NormalWeb"/>
        <w:spacing w:before="2" w:after="2"/>
      </w:pPr>
      <w:r>
        <w:t>May cause orthostatic hypotension</w:t>
      </w:r>
    </w:p>
    <w:p w:rsidR="00A979DC" w:rsidRDefault="00A979DC" w:rsidP="00A979DC">
      <w:pPr>
        <w:pStyle w:val="NormalWeb"/>
        <w:spacing w:before="2" w:after="2"/>
      </w:pPr>
      <w:r>
        <w:t>Suicide attempt is inherent in psychotic illness or bipolar disorder, close supervision of high-risk patients should accompany drug therapy</w:t>
      </w:r>
    </w:p>
    <w:p w:rsidR="00A979DC" w:rsidRDefault="00A979DC" w:rsidP="00A979DC">
      <w:pPr>
        <w:pStyle w:val="NormalWeb"/>
        <w:spacing w:before="2" w:after="2"/>
      </w:pPr>
      <w:r>
        <w:t>Dopamine2 antagonists may elevate prolactin levels; long-standing hyperprolactinemia when associated with hypogonadism may lead to decreased bone density</w:t>
      </w:r>
    </w:p>
    <w:p w:rsidR="00A979DC" w:rsidRDefault="00A979DC" w:rsidP="00A979DC">
      <w:pPr>
        <w:pStyle w:val="NormalWeb"/>
        <w:spacing w:before="2" w:after="2"/>
      </w:pPr>
      <w:r>
        <w:t xml:space="preserve">Leukopenia/neutropenia and agranulocytosis reported; possible risk factors for leukopenia/neutropenia include preexisting low white blood cell (WBC) count and history of drug-induced leukopenia/neutropenia </w:t>
      </w:r>
    </w:p>
    <w:p w:rsidR="00A979DC" w:rsidRDefault="00A979DC" w:rsidP="00A979DC">
      <w:pPr>
        <w:pStyle w:val="NormalWeb"/>
        <w:spacing w:before="2" w:after="2"/>
      </w:pPr>
      <w:r>
        <w:t>If patient has history of clinically significant low WBC count or drug-induced leukopenia/neutropenia, monitor complete blood count (CBC) frequently during first few months of therapy; discontinue drug at first sign of clinically significant WBC decline &lt;1000/μL in absence of other causative factors, and continue monitoring WBC count until recovery</w:t>
      </w:r>
    </w:p>
    <w:p w:rsidR="00A979DC" w:rsidRDefault="00A979DC" w:rsidP="00A979DC">
      <w:pPr>
        <w:pStyle w:val="NormalWeb"/>
        <w:spacing w:before="2" w:after="2"/>
      </w:pPr>
      <w:r>
        <w:t>Antipsychotic agents have been associated with esophageal dysmotility and aspiration; use caution in patients at risk of pneumonia</w:t>
      </w:r>
    </w:p>
    <w:p w:rsidR="00A979DC" w:rsidRDefault="00A979DC" w:rsidP="00A979DC">
      <w:pPr>
        <w:pStyle w:val="NormalWeb"/>
        <w:spacing w:before="2" w:after="2"/>
      </w:pPr>
      <w:r>
        <w:t>May cause QTc prolongation, which has been associated with development of malignant ventricular arrhythmias (torsade de pointes) and sudden death; discontinue therapy in patients with persistent QTc intervals &gt;500 msec; avoid hypokalemia or hypomagnesemia</w:t>
      </w:r>
    </w:p>
    <w:p w:rsidR="00A979DC" w:rsidRDefault="00A979DC" w:rsidP="00A979DC">
      <w:pPr>
        <w:pStyle w:val="NormalWeb"/>
        <w:spacing w:before="2" w:after="2"/>
      </w:pPr>
      <w:r>
        <w:t>Moderate to highly sedative; use caution when required to operate heavy machinery</w:t>
      </w:r>
    </w:p>
    <w:p w:rsidR="00A979DC" w:rsidRDefault="00A979DC" w:rsidP="00A979DC">
      <w:pPr>
        <w:pStyle w:val="NormalWeb"/>
        <w:spacing w:before="2" w:after="2"/>
      </w:pPr>
      <w:r>
        <w:t>May cause core body temperature regulation impairment; use caution with heat exposure, strenuous exercise, dehydration, or taking medications with anticholinergic effects</w:t>
      </w:r>
    </w:p>
    <w:p w:rsidR="00A979DC" w:rsidRDefault="00A979DC" w:rsidP="00A979DC">
      <w:pPr>
        <w:pStyle w:val="NormalWeb"/>
        <w:spacing w:before="2" w:after="2"/>
      </w:pPr>
      <w:r>
        <w:t xml:space="preserve">Make electrolyte imbalance corrections, especially hypomagnesemia or hypokalemia before and throughout therapy </w:t>
      </w:r>
    </w:p>
    <w:p w:rsidR="000F1731" w:rsidRDefault="00A979DC" w:rsidP="00A979DC">
      <w:pPr>
        <w:pStyle w:val="NormalWeb"/>
        <w:spacing w:before="2" w:after="2"/>
      </w:pPr>
      <w:r>
        <w:t>Use with caution in hepatic impairment</w:t>
      </w:r>
    </w:p>
    <w:p w:rsidR="00A979DC" w:rsidRPr="000F1731" w:rsidRDefault="000F1731" w:rsidP="00A979DC">
      <w:pPr>
        <w:pStyle w:val="NormalWeb"/>
        <w:spacing w:before="2" w:after="2"/>
        <w:rPr>
          <w:b/>
          <w:u w:val="single"/>
        </w:rPr>
      </w:pPr>
      <w:r w:rsidRPr="000F1731">
        <w:rPr>
          <w:b/>
          <w:u w:val="single"/>
        </w:rPr>
        <w:t>INTERACTIONS</w:t>
      </w:r>
    </w:p>
    <w:p w:rsidR="00A979DC" w:rsidRDefault="00A979DC" w:rsidP="00A979DC">
      <w:pPr>
        <w:pStyle w:val="Heading4"/>
        <w:spacing w:before="2" w:after="2"/>
      </w:pPr>
      <w:r>
        <w:t>Contraindicated (21)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amiodarone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amoxapine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arsenic trioxide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astemizole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cisapride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citalopram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disopyramide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escitalopram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goserelin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ibutilide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indapamide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leuprolide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pentamidine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pimozide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procainamide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quinidine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saquinavir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sorafenib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sotalol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terfenadine</w:t>
      </w:r>
    </w:p>
    <w:p w:rsidR="00A979DC" w:rsidRDefault="00A979DC" w:rsidP="00A979DC">
      <w:pPr>
        <w:numPr>
          <w:ilvl w:val="0"/>
          <w:numId w:val="1"/>
        </w:numPr>
        <w:spacing w:beforeLines="1" w:afterLines="1"/>
      </w:pPr>
      <w:r>
        <w:t>toremifene</w:t>
      </w:r>
    </w:p>
    <w:p w:rsidR="00A979DC" w:rsidRPr="00A979DC" w:rsidRDefault="00A979DC" w:rsidP="00A979DC">
      <w:pPr>
        <w:pStyle w:val="Heading4"/>
        <w:spacing w:before="2" w:after="2"/>
        <w:rPr>
          <w:sz w:val="16"/>
        </w:rPr>
      </w:pPr>
      <w:r w:rsidRPr="00A979DC">
        <w:rPr>
          <w:sz w:val="16"/>
        </w:rPr>
        <w:t>Serious - Use Alternative (70)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amisulpride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amitriptyline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amoxapine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apomorphine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artemether/lumefantrine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bromocriptine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cabergoline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chlorpromazine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citalopram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clarithromycin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clomipramine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desipramine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dofetilide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dopamine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dosulepin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doxepin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dronedarone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droperidol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epinephrine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epinephrine racemic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eribulin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erythromycin base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erythromycin ethylsuccinate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erythromycin lactobionate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erythromycin stearate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fluconazole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fluphenazine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formoterol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haloperidol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histrelin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hydroxyzine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imipramine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itraconazole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ketoconazole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levodopa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lisuride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lofepramine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lorcaserin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lumefantrine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maprotiline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mefloquine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methyldopa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mianserin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moxifloxacin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nafarelin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nilotinib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nortriptyline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octreotide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octreotide (antidote)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ondansetron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panobinostat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perphenazine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pimavanserin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pramipexole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prochlorperazine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promazine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promethazine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protriptyline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ropinirole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sertindole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sodium oxybate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thioridazine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trazodone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trifluoperazine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trimipramine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triptorelin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umeclidinium bromide/vilanterol inhaled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vandetanib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vemurafenib</w:t>
      </w:r>
    </w:p>
    <w:p w:rsidR="00A979DC" w:rsidRPr="00A979DC" w:rsidRDefault="00A979DC" w:rsidP="00A979DC">
      <w:pPr>
        <w:numPr>
          <w:ilvl w:val="0"/>
          <w:numId w:val="2"/>
        </w:numPr>
        <w:spacing w:beforeLines="1" w:afterLines="1"/>
        <w:rPr>
          <w:sz w:val="16"/>
        </w:rPr>
      </w:pPr>
      <w:r w:rsidRPr="00A979DC">
        <w:rPr>
          <w:sz w:val="16"/>
        </w:rPr>
        <w:t>vilanterol/fluticasone furoate inhaled</w:t>
      </w:r>
    </w:p>
    <w:p w:rsidR="00A979DC" w:rsidRPr="00A979DC" w:rsidRDefault="00A979DC" w:rsidP="00A979DC">
      <w:pPr>
        <w:pStyle w:val="Heading4"/>
        <w:spacing w:before="2" w:after="2"/>
        <w:rPr>
          <w:sz w:val="16"/>
        </w:rPr>
      </w:pPr>
      <w:r w:rsidRPr="00A979DC">
        <w:rPr>
          <w:sz w:val="16"/>
        </w:rPr>
        <w:t>Monitor Closely (309)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abobotulinumtoxina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acarbose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aclidinium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albiglutide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albuterol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alfentanil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alprazolam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amisulpride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amitriptyline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amobarbital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amoxapine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anticholinergic/sedative combos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arformoterol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aripiprazole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armodafinil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atracurium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atropine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atropine iv/im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axitinib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azelastine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azithromycin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baclofen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bambuterol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bedaquiline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belladonna alkaloids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belladonna and opium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benazepril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benperidol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benzphetamine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brompheniramine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buclizine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buprenorphine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buprenorphine buccal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butabarbital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butalbital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butorphanol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caffeine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carbamazepine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carbinoxamine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carisoprodol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chloral hydrate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chlordiazepoxide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chlorpheniramine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chlorpromazine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chlorpropamide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chlorzoxazone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cimetidine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cinnarizine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ciprofloxacin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cisatracurium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clarithromycin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clemastine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clobazam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clomethiazole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clomipramine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clonazepam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clonidine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clorazepate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clozapine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codeine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crizotinib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cyclizine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cyclobenzaprine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cyproheptadine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dantrolene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darifenacin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dasatinib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desipramine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dexchlorpheniramine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dexfenfluramine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dexmedetomidine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dexmethylphenidate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dextroamphetamine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dextromoramide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diamorphine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dichlorphenamide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dicyclomine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diethylpropion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difenoxin hcl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dimenhydrinate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diphenhydramine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diphenoxylate hcl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dipipanone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dobutamine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dolasetron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dopamine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dopexamine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dosulepin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doxepin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doxylamine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droperidol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enflurane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ephedrine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ephedrine (pulmonary)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epinephrine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epinephrine racemic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erythromycin base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erythromycin ethylsuccinate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erythromycin lactobionate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erythromycin stearate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estazolam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ethanol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etomidate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exenatide injectable solution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exenatide injectable suspension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ezogabine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fenfluramine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fesoterodine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flavoxate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flecainide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flibanserin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fluoxetine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fluphenazine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flurazepam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fluvoxamine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formoterol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foscarnet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glimepiride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glipizide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glyburide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glycopyrrolate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glycopyrrolate inhaled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guanabenz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guanfacine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haloperidol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henbane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hexobarbital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homatropine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hydrocodone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hydromorphone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hydroxyzine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hyoscyamine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hyoscyamine spray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iloperidone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imipramine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incobotulinumtoxina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indacaterol, inhaled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aspart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degludec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degludec/insulin aspart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detemir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glargine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glulisine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inhaled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lispro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nph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insulin regular human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ipratropium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isoproterenol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itraconazole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ivacaftor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ketoconazole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ketotifen, ophthalmic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lapatinib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lenvatinib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levalbuterol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levofloxacin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levorphanol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liraglutide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lisdexamfetamine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lofepramine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lofexidine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lomitapide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loprazolam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lorazepam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lormetazepam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loxapine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loxapine inhaled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lurasidone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maprotiline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maraviroc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marijuana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meclizine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melatonin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mepenzolate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meperidine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mephobarbital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meprobamate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metaproterenol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metaxalone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metformin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methadone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methamphetamine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methocarbamol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methscopolamine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methylenedioxymethamphetamine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methylphenidate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metoclopramide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mianserin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midazolam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midodrine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mifepristone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miglitol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mirtazapine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modafinil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morphine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motherwort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moxonidine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nabilone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nalbuphine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nateglinide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nefazodone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norepinephrine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nortriptyline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ofloxacin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olanzapine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olodaterol inhaled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onabotulinumtoxina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opium tincture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orphenadrine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osimertinib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oxazepam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oxybutynin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oxybutynin topical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oxybutynin transdermal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oxycodone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oxymorphone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paliperidone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pancuronium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papaveretum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papaverine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paroxetine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pasireotide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pazopanib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pentazocine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pentobarbital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perphenazine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phendimetrazine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phenobarbital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phentermine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phenylephrine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phenylephrine po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pholcodine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pimozide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pioglitazone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pirbuterol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posaconazole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pralidoxime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pramlintide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primidone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prochlorperazine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promethazine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propantheline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propofol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propylhexedrine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protriptyline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pseudoephedrine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quazepam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quetiapine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quinine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ramelteon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ranolazine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rapacuronium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repaglinide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rifabutin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rifampin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rilpivirine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rimabotulinumtoxinb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risperidone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rocuronium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romidepsin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rosiglitazone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salmeterol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saxagliptin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scopolamine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scullcap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secobarbital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sertindole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sertraline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shepherd's purse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sitagliptin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solifenacin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st john's wort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sufentanil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sulfamethoxazole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sulpiride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tapentadol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telavancin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telithromycin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temazepam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terbutaline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terfenadine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tetrabenazine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thioridazine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thiothixene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tiotropium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tolazamide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tolbutamide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tolterodine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topiramate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tramadol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trazodone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triazolam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triclofos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trifluoperazine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trimethoprim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trimipramine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triprolidine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tropisetron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trospium chloride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tubocurarine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vecuronium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venlafaxine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voriconazole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xylometazoline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yohimbine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ziconotide</w:t>
      </w:r>
    </w:p>
    <w:p w:rsidR="00A979DC" w:rsidRPr="00A979DC" w:rsidRDefault="00A979DC" w:rsidP="00A979DC">
      <w:pPr>
        <w:numPr>
          <w:ilvl w:val="0"/>
          <w:numId w:val="3"/>
        </w:numPr>
        <w:spacing w:beforeLines="1" w:afterLines="1"/>
        <w:rPr>
          <w:sz w:val="16"/>
        </w:rPr>
      </w:pPr>
      <w:r w:rsidRPr="00A979DC">
        <w:rPr>
          <w:sz w:val="16"/>
        </w:rPr>
        <w:t>zotepine</w:t>
      </w:r>
    </w:p>
    <w:p w:rsidR="00A979DC" w:rsidRPr="00A979DC" w:rsidRDefault="00A979DC" w:rsidP="00A979DC">
      <w:pPr>
        <w:pStyle w:val="Heading4"/>
        <w:spacing w:before="2" w:after="2"/>
        <w:rPr>
          <w:sz w:val="16"/>
        </w:rPr>
      </w:pPr>
      <w:r w:rsidRPr="00A979DC">
        <w:rPr>
          <w:sz w:val="16"/>
        </w:rPr>
        <w:t>Minor (77)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amobarbital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aprepitant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armodafinil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artemether/lumefantrine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atazanavir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bosentan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brimonidine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budesonide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butabarbital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butalbital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chasteberry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clobetasone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conivaptan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cortisone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cyclosporine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darifenacin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darunavir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dasatinib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delavirdine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dexamethasone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dhea, herbal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diltiazem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efavirenz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eslicarbazepine acetate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ethanol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ethotoin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etravirine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eucalyptus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fluconazole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fludrocortisone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fosamprenavir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fosphenytoin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grapefruit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griseofulvin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hexobarbital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hydrocortisone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indinavir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isoniazid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lapatinib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lumefantrine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marijuana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mephobarbital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methylprednisolone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metronidazole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mibefradil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miconazole vaginal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modafinil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nafcillin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nelfinavir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nevirapine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nifedipine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nilotinib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oxcarbazepine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oxiconazole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pentobarbital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phenobarbital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phenytoin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posaconazole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prednisolone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prednisone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primidone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quinupristin/dalfopristin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rifapentine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ritonavir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rufinamide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ruxolitinib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sage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secobarbital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sitaxentan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telithromycin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topiramate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triamcinolone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troglitazone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troleandomycin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verapamil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voriconazole</w:t>
      </w:r>
    </w:p>
    <w:p w:rsidR="00A979DC" w:rsidRPr="00A979DC" w:rsidRDefault="00A979DC" w:rsidP="00A979DC">
      <w:pPr>
        <w:numPr>
          <w:ilvl w:val="0"/>
          <w:numId w:val="4"/>
        </w:numPr>
        <w:spacing w:beforeLines="1" w:afterLines="1"/>
        <w:rPr>
          <w:sz w:val="16"/>
        </w:rPr>
      </w:pPr>
      <w:r w:rsidRPr="00A979DC">
        <w:rPr>
          <w:sz w:val="16"/>
        </w:rPr>
        <w:t>zafirlukast</w:t>
      </w:r>
    </w:p>
    <w:p w:rsidR="00A979DC" w:rsidRPr="00A979DC" w:rsidRDefault="00A979DC" w:rsidP="00A979DC">
      <w:pPr>
        <w:pStyle w:val="NormalWeb"/>
        <w:spacing w:before="2" w:after="2"/>
        <w:rPr>
          <w:sz w:val="16"/>
        </w:rPr>
      </w:pPr>
    </w:p>
    <w:p w:rsidR="00A979DC" w:rsidRPr="00A979DC" w:rsidRDefault="00A979DC" w:rsidP="00A979DC">
      <w:pPr>
        <w:spacing w:beforeLines="1" w:afterLines="1"/>
        <w:rPr>
          <w:rFonts w:ascii="Times" w:hAnsi="Times" w:cs="Times New Roman"/>
          <w:sz w:val="16"/>
          <w:szCs w:val="20"/>
        </w:rPr>
      </w:pPr>
    </w:p>
    <w:p w:rsidR="008D4225" w:rsidRPr="00A979DC" w:rsidRDefault="000F1731">
      <w:pPr>
        <w:rPr>
          <w:sz w:val="16"/>
        </w:rPr>
      </w:pPr>
    </w:p>
    <w:sectPr w:rsidR="008D4225" w:rsidRPr="00A979DC" w:rsidSect="008D42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87B"/>
    <w:multiLevelType w:val="multilevel"/>
    <w:tmpl w:val="06B4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81CA3"/>
    <w:multiLevelType w:val="multilevel"/>
    <w:tmpl w:val="91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20327"/>
    <w:multiLevelType w:val="multilevel"/>
    <w:tmpl w:val="362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34B1A"/>
    <w:multiLevelType w:val="multilevel"/>
    <w:tmpl w:val="EC2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79DC"/>
    <w:rsid w:val="000F1731"/>
    <w:rsid w:val="00A979DC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A979D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9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79DC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A979D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7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7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A979DC"/>
    <w:pPr>
      <w:spacing w:beforeLines="1" w:afterLines="1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979D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979DC"/>
    <w:pPr>
      <w:spacing w:beforeLines="1" w:afterLines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79D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A979DC"/>
    <w:pPr>
      <w:spacing w:beforeLines="1" w:afterLines="1"/>
      <w:jc w:val="center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979DC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979DC"/>
    <w:pPr>
      <w:spacing w:beforeLines="1" w:afterLines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79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979DC"/>
    <w:rPr>
      <w:vertAlign w:val="superscript"/>
    </w:rPr>
  </w:style>
  <w:style w:type="paragraph" w:styleId="Header">
    <w:name w:val="header"/>
    <w:basedOn w:val="Normal"/>
    <w:link w:val="HeaderChar"/>
    <w:rsid w:val="00A979DC"/>
    <w:pPr>
      <w:tabs>
        <w:tab w:val="center" w:pos="4320"/>
        <w:tab w:val="right" w:pos="8640"/>
      </w:tabs>
      <w:spacing w:beforeLines="1" w:afterLines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79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979DC"/>
    <w:pPr>
      <w:tabs>
        <w:tab w:val="center" w:pos="4320"/>
        <w:tab w:val="right" w:pos="8640"/>
      </w:tabs>
      <w:spacing w:beforeLines="1" w:afterLines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979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979DC"/>
    <w:pPr>
      <w:spacing w:beforeLines="1" w:afterLines="1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DC"/>
    <w:rPr>
      <w:rFonts w:ascii="Tahoma" w:eastAsia="Times New Roman" w:hAnsi="Tahoma" w:cs="Tahoma"/>
      <w:sz w:val="16"/>
      <w:szCs w:val="16"/>
    </w:rPr>
  </w:style>
  <w:style w:type="paragraph" w:customStyle="1" w:styleId="ProfileInfo">
    <w:name w:val="ProfileInfo"/>
    <w:basedOn w:val="Normal"/>
    <w:next w:val="Normal"/>
    <w:link w:val="ProfileInfoChar"/>
    <w:rsid w:val="00A979DC"/>
    <w:pPr>
      <w:spacing w:beforeLines="1" w:afterLines="1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ProfileInfoChar">
    <w:name w:val="ProfileInfo Char"/>
    <w:basedOn w:val="DefaultParagraphFont"/>
    <w:link w:val="ProfileInfo"/>
    <w:rsid w:val="00A979DC"/>
    <w:rPr>
      <w:rFonts w:ascii="Times New Roman" w:eastAsia="Times New Roman" w:hAnsi="Times New Roman" w:cs="Times New Roman"/>
      <w:sz w:val="16"/>
      <w:szCs w:val="20"/>
    </w:rPr>
  </w:style>
  <w:style w:type="paragraph" w:customStyle="1" w:styleId="Header-Left">
    <w:name w:val="Header-Left"/>
    <w:basedOn w:val="Normal"/>
    <w:rsid w:val="00A979DC"/>
    <w:pPr>
      <w:spacing w:beforeLines="1" w:afterLines="1"/>
      <w:ind w:left="216"/>
    </w:pPr>
    <w:rPr>
      <w:rFonts w:asciiTheme="majorHAnsi" w:eastAsiaTheme="majorEastAsia" w:hAnsiTheme="majorHAnsi" w:cstheme="majorBidi"/>
      <w:color w:val="1F497D" w:themeColor="text2"/>
      <w:sz w:val="40"/>
      <w:szCs w:val="22"/>
    </w:rPr>
  </w:style>
  <w:style w:type="paragraph" w:customStyle="1" w:styleId="Header-Right">
    <w:name w:val="Header-Right"/>
    <w:basedOn w:val="Normal"/>
    <w:rsid w:val="00A979DC"/>
    <w:pPr>
      <w:spacing w:beforeLines="1" w:afterLines="1" w:line="220" w:lineRule="atLeast"/>
      <w:ind w:left="216" w:right="216"/>
    </w:pPr>
    <w:rPr>
      <w:rFonts w:ascii="Times" w:eastAsiaTheme="minorEastAsia" w:hAnsi="Times"/>
      <w:color w:val="1F497D" w:themeColor="text2"/>
      <w:sz w:val="16"/>
      <w:szCs w:val="22"/>
    </w:rPr>
  </w:style>
  <w:style w:type="table" w:customStyle="1" w:styleId="OutsideTable-Header">
    <w:name w:val="Outside Table - Header"/>
    <w:basedOn w:val="TableNormal"/>
    <w:rsid w:val="00A979DC"/>
    <w:rPr>
      <w:rFonts w:eastAsiaTheme="minorEastAsia"/>
      <w:sz w:val="22"/>
      <w:szCs w:val="22"/>
    </w:rPr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rsid w:val="00A979DC"/>
    <w:pPr>
      <w:spacing w:beforeLines="1" w:afterLines="1" w:line="14" w:lineRule="exact"/>
    </w:pPr>
    <w:rPr>
      <w:rFonts w:ascii="Times" w:eastAsiaTheme="minorEastAsia" w:hAnsi="Times"/>
      <w:color w:val="404040" w:themeColor="text1" w:themeTint="BF"/>
      <w:sz w:val="2"/>
      <w:szCs w:val="22"/>
    </w:rPr>
  </w:style>
  <w:style w:type="table" w:customStyle="1" w:styleId="CenterTable-Header">
    <w:name w:val="Center Table - Header"/>
    <w:basedOn w:val="TableNormal"/>
    <w:rsid w:val="00A979DC"/>
    <w:rPr>
      <w:rFonts w:eastAsiaTheme="minorEastAsia"/>
      <w:sz w:val="22"/>
      <w:szCs w:val="22"/>
    </w:rPr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979DC"/>
    <w:rPr>
      <w:rFonts w:eastAsiaTheme="minorEastAsia"/>
      <w:sz w:val="22"/>
      <w:szCs w:val="22"/>
    </w:rPr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DR18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1721</Words>
  <Characters>9812</Characters>
  <Application>Microsoft Macintosh Word</Application>
  <DocSecurity>0</DocSecurity>
  <Lines>81</Lines>
  <Paragraphs>19</Paragraphs>
  <ScaleCrop>false</ScaleCrop>
  <Company>Sheri Spirt, M.D.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2</cp:revision>
  <cp:lastPrinted>2017-03-08T18:48:00Z</cp:lastPrinted>
  <dcterms:created xsi:type="dcterms:W3CDTF">2017-03-08T18:44:00Z</dcterms:created>
  <dcterms:modified xsi:type="dcterms:W3CDTF">2017-03-08T18:49:00Z</dcterms:modified>
</cp:coreProperties>
</file>