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9326A" w14:textId="77777777" w:rsidR="00BB2BAD" w:rsidRDefault="00BB2BAD" w:rsidP="00EA47A3">
      <w:pPr>
        <w:jc w:val="center"/>
        <w:rPr>
          <w:sz w:val="28"/>
        </w:rPr>
      </w:pPr>
      <w:proofErr w:type="gramStart"/>
      <w:r w:rsidRPr="003D2CC4">
        <w:rPr>
          <w:sz w:val="28"/>
        </w:rPr>
        <w:t>SHERI SPIRT, M.D.</w:t>
      </w:r>
      <w:proofErr w:type="gramEnd"/>
    </w:p>
    <w:p w14:paraId="6E8FCF4E" w14:textId="77777777" w:rsidR="00BB2BAD" w:rsidRDefault="00BB2BAD" w:rsidP="00EA47A3">
      <w:pPr>
        <w:jc w:val="center"/>
      </w:pPr>
      <w:bookmarkStart w:id="0" w:name="_GoBack"/>
      <w:bookmarkEnd w:id="0"/>
      <w:r>
        <w:t>PSYCHIATRY</w:t>
      </w:r>
    </w:p>
    <w:p w14:paraId="1E10CDC6" w14:textId="77777777" w:rsidR="00BB2BAD" w:rsidRDefault="00BB2BAD" w:rsidP="00EA47A3">
      <w:pPr>
        <w:jc w:val="center"/>
      </w:pPr>
      <w:r>
        <w:t>16 East 96</w:t>
      </w:r>
      <w:r w:rsidRPr="002A6B06">
        <w:rPr>
          <w:vertAlign w:val="superscript"/>
        </w:rPr>
        <w:t>th</w:t>
      </w:r>
      <w:r>
        <w:t xml:space="preserve"> Street Unit 1A</w:t>
      </w:r>
    </w:p>
    <w:p w14:paraId="05B2EC7D" w14:textId="77777777" w:rsidR="00BB2BAD" w:rsidRDefault="00BB2BAD" w:rsidP="00EA47A3">
      <w:pPr>
        <w:jc w:val="center"/>
      </w:pPr>
      <w:r>
        <w:t>NEW YORK, N.Y. 10128</w:t>
      </w:r>
    </w:p>
    <w:p w14:paraId="3C273CCB" w14:textId="77777777" w:rsidR="00BB2BAD" w:rsidRDefault="00BB2BAD" w:rsidP="00EA47A3">
      <w:pPr>
        <w:jc w:val="center"/>
      </w:pPr>
      <w:r>
        <w:t>(212) 595-6901</w:t>
      </w:r>
    </w:p>
    <w:p w14:paraId="4854193A" w14:textId="77777777" w:rsidR="00BB2BAD" w:rsidRDefault="00DA7053" w:rsidP="00EA47A3">
      <w:pPr>
        <w:jc w:val="center"/>
      </w:pPr>
      <w:hyperlink r:id="rId6" w:history="1">
        <w:r w:rsidR="00BB2BAD" w:rsidRPr="00A83CF6">
          <w:rPr>
            <w:rStyle w:val="Hyperlink"/>
          </w:rPr>
          <w:t>SSDR18@AOL.COM</w:t>
        </w:r>
      </w:hyperlink>
    </w:p>
    <w:p w14:paraId="2DCA4A7F" w14:textId="77777777" w:rsidR="0037175E" w:rsidRDefault="0037175E"/>
    <w:p w14:paraId="4498B836" w14:textId="77777777" w:rsidR="0037175E" w:rsidRPr="00DA7053" w:rsidRDefault="00BB2BAD">
      <w:pPr>
        <w:rPr>
          <w:b/>
          <w:u w:val="single"/>
        </w:rPr>
      </w:pPr>
      <w:r w:rsidRPr="00DA7053">
        <w:rPr>
          <w:b/>
          <w:u w:val="single"/>
        </w:rPr>
        <w:t>GABAPENTIN</w:t>
      </w:r>
    </w:p>
    <w:p w14:paraId="31DFD3CC" w14:textId="77777777" w:rsidR="0037175E" w:rsidRDefault="0037175E"/>
    <w:p w14:paraId="72CD0D53" w14:textId="77777777" w:rsidR="0037175E" w:rsidRDefault="0037175E">
      <w:r>
        <w:t xml:space="preserve">A </w:t>
      </w:r>
      <w:proofErr w:type="gramStart"/>
      <w:r>
        <w:t>non addictive</w:t>
      </w:r>
      <w:proofErr w:type="gramEnd"/>
      <w:r>
        <w:t xml:space="preserve"> medication used off label to help decrease anxiety. At doses of 300mg. and up can be sedating and </w:t>
      </w:r>
      <w:r w:rsidRPr="00DD2B85">
        <w:rPr>
          <w:b/>
          <w:u w:val="single"/>
        </w:rPr>
        <w:t>help with sleep.</w:t>
      </w:r>
      <w:r>
        <w:t xml:space="preserve"> </w:t>
      </w:r>
    </w:p>
    <w:p w14:paraId="3F852FA6" w14:textId="77777777" w:rsidR="009A351C" w:rsidRDefault="0037175E">
      <w:r>
        <w:t xml:space="preserve">Acts on </w:t>
      </w:r>
      <w:proofErr w:type="gramStart"/>
      <w:r>
        <w:t>the  same</w:t>
      </w:r>
      <w:proofErr w:type="gramEnd"/>
      <w:r>
        <w:t xml:space="preserve"> GABA receptor as the benzodiazepines, but not </w:t>
      </w:r>
      <w:r w:rsidR="00C65633">
        <w:t>associated</w:t>
      </w:r>
    </w:p>
    <w:p w14:paraId="7381CEF0" w14:textId="77777777" w:rsidR="00C65633" w:rsidRDefault="0037175E">
      <w:r>
        <w:t xml:space="preserve"> </w:t>
      </w:r>
      <w:proofErr w:type="gramStart"/>
      <w:r>
        <w:t>with</w:t>
      </w:r>
      <w:proofErr w:type="gramEnd"/>
      <w:r>
        <w:t xml:space="preserve"> tolerance and dependency. </w:t>
      </w:r>
    </w:p>
    <w:p w14:paraId="55ECD302" w14:textId="77777777" w:rsidR="00C65633" w:rsidRDefault="00C65633"/>
    <w:p w14:paraId="794847DC" w14:textId="76DDEE17" w:rsidR="00DD2B85" w:rsidRDefault="00C65633" w:rsidP="00DD2B85">
      <w:pPr>
        <w:pStyle w:val="Heading3"/>
        <w:rPr>
          <w:rFonts w:eastAsia="Times New Roman" w:cs="Times New Roman"/>
        </w:rPr>
      </w:pPr>
      <w:r w:rsidRPr="00DD2B85">
        <w:rPr>
          <w:b w:val="0"/>
        </w:rPr>
        <w:t xml:space="preserve">Initial doses start at 100mg. for you to take one pill as many as three </w:t>
      </w:r>
      <w:r w:rsidR="009A501C" w:rsidRPr="00DD2B85">
        <w:rPr>
          <w:b w:val="0"/>
        </w:rPr>
        <w:t xml:space="preserve">to six times a day. </w:t>
      </w:r>
      <w:r w:rsidRPr="00DD2B85">
        <w:rPr>
          <w:b w:val="0"/>
        </w:rPr>
        <w:t>(3 for sleep)</w:t>
      </w:r>
      <w:r>
        <w:t xml:space="preserve"> </w:t>
      </w:r>
      <w:r w:rsidR="004129E3">
        <w:br/>
      </w:r>
    </w:p>
    <w:p w14:paraId="6E55B977" w14:textId="64F9C5BF" w:rsidR="00DD2B85" w:rsidRDefault="00DD2B85" w:rsidP="00DD2B85">
      <w:pPr>
        <w:pStyle w:val="Heading3"/>
        <w:rPr>
          <w:rFonts w:eastAsia="Times New Roman" w:cs="Times New Roman"/>
        </w:rPr>
      </w:pPr>
      <w:r>
        <w:rPr>
          <w:rFonts w:eastAsia="Times New Roman" w:cs="Times New Roman"/>
        </w:rPr>
        <w:t>PHARMACOLOGY</w:t>
      </w:r>
    </w:p>
    <w:p w14:paraId="74CD85A1" w14:textId="69B9002A" w:rsidR="00DD2B85" w:rsidRDefault="00DD2B85" w:rsidP="00DD2B85">
      <w:pPr>
        <w:pStyle w:val="Heading3"/>
        <w:rPr>
          <w:rFonts w:eastAsia="Times New Roman" w:cs="Times New Roman"/>
        </w:rPr>
      </w:pPr>
      <w:r>
        <w:rPr>
          <w:rFonts w:eastAsia="Times New Roman" w:cs="Times New Roman"/>
        </w:rPr>
        <w:t>Mechanism of Action</w:t>
      </w:r>
    </w:p>
    <w:p w14:paraId="0B8C748B" w14:textId="77777777" w:rsidR="00DD2B85" w:rsidRDefault="00DD2B85" w:rsidP="00DD2B85">
      <w:pPr>
        <w:pStyle w:val="NormalWeb"/>
      </w:pPr>
      <w:r>
        <w:t>GABA analogue; structurally related to neurotransmitter GABA, but has no effect on GABA binding, uptake, or degradation; presence of gabapentin binding sites throughout the brain reported; mechanism for analgesic and anticonvulsant activity unknown</w:t>
      </w:r>
    </w:p>
    <w:p w14:paraId="265FA023" w14:textId="77777777" w:rsidR="00DD2B85" w:rsidRDefault="00DD2B85" w:rsidP="00DD2B85">
      <w:pPr>
        <w:pStyle w:val="Heading3"/>
        <w:rPr>
          <w:rFonts w:eastAsia="Times New Roman" w:cs="Times New Roman"/>
        </w:rPr>
      </w:pPr>
      <w:r>
        <w:rPr>
          <w:rFonts w:eastAsia="Times New Roman" w:cs="Times New Roman"/>
        </w:rPr>
        <w:t>Absorption</w:t>
      </w:r>
    </w:p>
    <w:p w14:paraId="3D8F1590" w14:textId="77777777" w:rsidR="00DD2B85" w:rsidRDefault="00DD2B85" w:rsidP="00DD2B85">
      <w:pPr>
        <w:pStyle w:val="NormalWeb"/>
      </w:pPr>
      <w:r>
        <w:t>Variable from proximal small bowel by L-amino transport system</w:t>
      </w:r>
    </w:p>
    <w:p w14:paraId="353B0DA7" w14:textId="77777777" w:rsidR="00DD2B85" w:rsidRDefault="00DD2B85" w:rsidP="00DD2B85">
      <w:pPr>
        <w:pStyle w:val="sect2title"/>
        <w:rPr>
          <w:rFonts w:cs="Times New Roman"/>
        </w:rPr>
      </w:pPr>
      <w:r>
        <w:rPr>
          <w:rFonts w:cs="Times New Roman"/>
        </w:rPr>
        <w:t>Neurontin</w:t>
      </w:r>
    </w:p>
    <w:p w14:paraId="35879F6D" w14:textId="77777777" w:rsidR="00DD2B85" w:rsidRDefault="00DD2B85" w:rsidP="00DD2B85">
      <w:pPr>
        <w:numPr>
          <w:ilvl w:val="0"/>
          <w:numId w:val="9"/>
        </w:numPr>
        <w:spacing w:before="100" w:beforeAutospacing="1" w:after="100" w:afterAutospacing="1"/>
        <w:rPr>
          <w:rFonts w:eastAsia="Times New Roman" w:cs="Times New Roman"/>
        </w:rPr>
      </w:pPr>
      <w:r>
        <w:rPr>
          <w:rFonts w:eastAsia="Times New Roman" w:cs="Times New Roman"/>
        </w:rPr>
        <w:t>Bioavailability: Inversely proportion to dose; 60% (900 mg/day); 47% (1200 mg/day); 34% (2400 mg/day); 33% (3600 mg/day); 27% (4800 mg/day)</w:t>
      </w:r>
    </w:p>
    <w:p w14:paraId="2EFBF7AF" w14:textId="77777777" w:rsidR="00DD2B85" w:rsidRDefault="00DD2B85" w:rsidP="00DD2B85">
      <w:pPr>
        <w:numPr>
          <w:ilvl w:val="0"/>
          <w:numId w:val="9"/>
        </w:numPr>
        <w:spacing w:before="100" w:beforeAutospacing="1" w:after="100" w:afterAutospacing="1"/>
        <w:rPr>
          <w:rFonts w:eastAsia="Times New Roman" w:cs="Times New Roman"/>
        </w:rPr>
      </w:pPr>
      <w:r>
        <w:rPr>
          <w:rFonts w:eastAsia="Times New Roman" w:cs="Times New Roman"/>
        </w:rPr>
        <w:t xml:space="preserve">Peak plasma time: 2-4 </w:t>
      </w:r>
      <w:proofErr w:type="spellStart"/>
      <w:r>
        <w:rPr>
          <w:rFonts w:eastAsia="Times New Roman" w:cs="Times New Roman"/>
        </w:rPr>
        <w:t>hr</w:t>
      </w:r>
      <w:proofErr w:type="spellEnd"/>
    </w:p>
    <w:p w14:paraId="1359BB4F" w14:textId="77777777" w:rsidR="00DD2B85" w:rsidRDefault="00DD2B85" w:rsidP="00DD2B85">
      <w:pPr>
        <w:numPr>
          <w:ilvl w:val="0"/>
          <w:numId w:val="9"/>
        </w:numPr>
        <w:spacing w:before="100" w:beforeAutospacing="1" w:after="100" w:afterAutospacing="1"/>
        <w:rPr>
          <w:rFonts w:eastAsia="Times New Roman" w:cs="Times New Roman"/>
        </w:rPr>
      </w:pPr>
      <w:r>
        <w:rPr>
          <w:rFonts w:eastAsia="Times New Roman" w:cs="Times New Roman"/>
        </w:rPr>
        <w:t xml:space="preserve">Peak plasma concentration: 8536 </w:t>
      </w:r>
      <w:proofErr w:type="spellStart"/>
      <w:r>
        <w:rPr>
          <w:rFonts w:eastAsia="Times New Roman" w:cs="Times New Roman"/>
        </w:rPr>
        <w:t>ng</w:t>
      </w:r>
      <w:proofErr w:type="spellEnd"/>
      <w:r>
        <w:rPr>
          <w:rFonts w:eastAsia="Times New Roman" w:cs="Times New Roman"/>
        </w:rPr>
        <w:t>/mL</w:t>
      </w:r>
    </w:p>
    <w:p w14:paraId="74738B28" w14:textId="77777777" w:rsidR="00DD2B85" w:rsidRDefault="00DD2B85" w:rsidP="00DD2B85">
      <w:pPr>
        <w:numPr>
          <w:ilvl w:val="0"/>
          <w:numId w:val="9"/>
        </w:numPr>
        <w:spacing w:before="100" w:beforeAutospacing="1" w:after="100" w:afterAutospacing="1"/>
        <w:rPr>
          <w:rFonts w:eastAsia="Times New Roman" w:cs="Times New Roman"/>
        </w:rPr>
      </w:pPr>
      <w:r>
        <w:rPr>
          <w:rFonts w:eastAsia="Times New Roman" w:cs="Times New Roman"/>
        </w:rPr>
        <w:t xml:space="preserve">AUC: 141,301 </w:t>
      </w:r>
      <w:proofErr w:type="spellStart"/>
      <w:r>
        <w:rPr>
          <w:rFonts w:eastAsia="Times New Roman" w:cs="Times New Roman"/>
        </w:rPr>
        <w:t>ng•hr</w:t>
      </w:r>
      <w:proofErr w:type="spellEnd"/>
      <w:r>
        <w:rPr>
          <w:rFonts w:eastAsia="Times New Roman" w:cs="Times New Roman"/>
        </w:rPr>
        <w:t>/mL</w:t>
      </w:r>
    </w:p>
    <w:p w14:paraId="0FAE65FC" w14:textId="77777777" w:rsidR="00DD2B85" w:rsidRDefault="00DD2B85" w:rsidP="00DD2B85">
      <w:pPr>
        <w:pStyle w:val="sect2title"/>
        <w:rPr>
          <w:rFonts w:cs="Times New Roman"/>
        </w:rPr>
      </w:pPr>
      <w:proofErr w:type="spellStart"/>
      <w:r>
        <w:rPr>
          <w:rFonts w:cs="Times New Roman"/>
        </w:rPr>
        <w:t>Gralise</w:t>
      </w:r>
      <w:proofErr w:type="spellEnd"/>
      <w:r>
        <w:rPr>
          <w:rFonts w:cs="Times New Roman"/>
        </w:rPr>
        <w:t xml:space="preserve"> </w:t>
      </w:r>
    </w:p>
    <w:p w14:paraId="308B301E" w14:textId="77777777" w:rsidR="00DD2B85" w:rsidRDefault="00DD2B85" w:rsidP="00DD2B85">
      <w:pPr>
        <w:numPr>
          <w:ilvl w:val="0"/>
          <w:numId w:val="10"/>
        </w:numPr>
        <w:spacing w:before="100" w:beforeAutospacing="1" w:after="100" w:afterAutospacing="1"/>
        <w:rPr>
          <w:rFonts w:eastAsia="Times New Roman" w:cs="Times New Roman"/>
        </w:rPr>
      </w:pPr>
      <w:r>
        <w:rPr>
          <w:rFonts w:eastAsia="Times New Roman" w:cs="Times New Roman"/>
        </w:rPr>
        <w:t>Bioavailability: Increased with high fat meal</w:t>
      </w:r>
    </w:p>
    <w:p w14:paraId="66C1B1E2" w14:textId="77777777" w:rsidR="00DD2B85" w:rsidRDefault="00DD2B85" w:rsidP="00DD2B85">
      <w:pPr>
        <w:numPr>
          <w:ilvl w:val="0"/>
          <w:numId w:val="10"/>
        </w:numPr>
        <w:spacing w:before="100" w:beforeAutospacing="1" w:after="100" w:afterAutospacing="1"/>
        <w:rPr>
          <w:rFonts w:eastAsia="Times New Roman" w:cs="Times New Roman"/>
        </w:rPr>
      </w:pPr>
      <w:r>
        <w:rPr>
          <w:rFonts w:eastAsia="Times New Roman" w:cs="Times New Roman"/>
        </w:rPr>
        <w:t xml:space="preserve">Peak plasma time: 8 </w:t>
      </w:r>
      <w:proofErr w:type="spellStart"/>
      <w:r>
        <w:rPr>
          <w:rFonts w:eastAsia="Times New Roman" w:cs="Times New Roman"/>
        </w:rPr>
        <w:t>hr</w:t>
      </w:r>
      <w:proofErr w:type="spellEnd"/>
    </w:p>
    <w:p w14:paraId="2FD213C7" w14:textId="77777777" w:rsidR="00DD2B85" w:rsidRDefault="00DD2B85" w:rsidP="00DD2B85">
      <w:pPr>
        <w:numPr>
          <w:ilvl w:val="0"/>
          <w:numId w:val="10"/>
        </w:numPr>
        <w:spacing w:before="100" w:beforeAutospacing="1" w:after="100" w:afterAutospacing="1"/>
        <w:rPr>
          <w:rFonts w:eastAsia="Times New Roman" w:cs="Times New Roman"/>
        </w:rPr>
      </w:pPr>
      <w:r>
        <w:rPr>
          <w:rFonts w:eastAsia="Times New Roman" w:cs="Times New Roman"/>
        </w:rPr>
        <w:t xml:space="preserve">Peak plasma concentration: 9585 </w:t>
      </w:r>
      <w:proofErr w:type="spellStart"/>
      <w:r>
        <w:rPr>
          <w:rFonts w:eastAsia="Times New Roman" w:cs="Times New Roman"/>
        </w:rPr>
        <w:t>ng</w:t>
      </w:r>
      <w:proofErr w:type="spellEnd"/>
      <w:r>
        <w:rPr>
          <w:rFonts w:eastAsia="Times New Roman" w:cs="Times New Roman"/>
        </w:rPr>
        <w:t xml:space="preserve">/mL (1800 mg </w:t>
      </w:r>
      <w:proofErr w:type="spellStart"/>
      <w:r>
        <w:rPr>
          <w:rFonts w:eastAsia="Times New Roman" w:cs="Times New Roman"/>
        </w:rPr>
        <w:t>qDay</w:t>
      </w:r>
      <w:proofErr w:type="spellEnd"/>
      <w:r>
        <w:rPr>
          <w:rFonts w:eastAsia="Times New Roman" w:cs="Times New Roman"/>
        </w:rPr>
        <w:t>)</w:t>
      </w:r>
    </w:p>
    <w:p w14:paraId="294D899E" w14:textId="77777777" w:rsidR="00DD2B85" w:rsidRDefault="00DD2B85" w:rsidP="00DD2B85">
      <w:pPr>
        <w:numPr>
          <w:ilvl w:val="0"/>
          <w:numId w:val="10"/>
        </w:numPr>
        <w:spacing w:before="100" w:beforeAutospacing="1" w:after="100" w:afterAutospacing="1"/>
        <w:rPr>
          <w:rFonts w:eastAsia="Times New Roman" w:cs="Times New Roman"/>
        </w:rPr>
      </w:pPr>
      <w:r>
        <w:rPr>
          <w:rFonts w:eastAsia="Times New Roman" w:cs="Times New Roman"/>
        </w:rPr>
        <w:t xml:space="preserve">AUC: 132,808 </w:t>
      </w:r>
      <w:proofErr w:type="spellStart"/>
      <w:r>
        <w:rPr>
          <w:rFonts w:eastAsia="Times New Roman" w:cs="Times New Roman"/>
        </w:rPr>
        <w:t>ng•hr</w:t>
      </w:r>
      <w:proofErr w:type="spellEnd"/>
      <w:r>
        <w:rPr>
          <w:rFonts w:eastAsia="Times New Roman" w:cs="Times New Roman"/>
        </w:rPr>
        <w:t>/mL</w:t>
      </w:r>
    </w:p>
    <w:p w14:paraId="1EA54173" w14:textId="77777777" w:rsidR="00DD2B85" w:rsidRDefault="00DD2B85" w:rsidP="00DD2B85">
      <w:pPr>
        <w:pStyle w:val="Heading3"/>
        <w:rPr>
          <w:rFonts w:eastAsia="Times New Roman" w:cs="Times New Roman"/>
        </w:rPr>
      </w:pPr>
      <w:r>
        <w:rPr>
          <w:rFonts w:eastAsia="Times New Roman" w:cs="Times New Roman"/>
        </w:rPr>
        <w:lastRenderedPageBreak/>
        <w:t>Distribution</w:t>
      </w:r>
    </w:p>
    <w:p w14:paraId="44CCA474" w14:textId="77777777" w:rsidR="00DD2B85" w:rsidRDefault="00DD2B85" w:rsidP="00DD2B85">
      <w:pPr>
        <w:pStyle w:val="sect2title"/>
        <w:rPr>
          <w:rFonts w:cs="Times New Roman"/>
        </w:rPr>
      </w:pPr>
      <w:r>
        <w:rPr>
          <w:rFonts w:cs="Times New Roman"/>
        </w:rPr>
        <w:t xml:space="preserve">Neurontin and </w:t>
      </w:r>
      <w:proofErr w:type="spellStart"/>
      <w:r>
        <w:rPr>
          <w:rFonts w:cs="Times New Roman"/>
        </w:rPr>
        <w:t>Gralise</w:t>
      </w:r>
      <w:proofErr w:type="spellEnd"/>
    </w:p>
    <w:p w14:paraId="79CDE182" w14:textId="77777777" w:rsidR="00DD2B85" w:rsidRDefault="00DD2B85" w:rsidP="00DD2B85">
      <w:pPr>
        <w:numPr>
          <w:ilvl w:val="0"/>
          <w:numId w:val="11"/>
        </w:numPr>
        <w:spacing w:before="100" w:beforeAutospacing="1" w:after="100" w:afterAutospacing="1"/>
        <w:rPr>
          <w:rFonts w:eastAsia="Times New Roman" w:cs="Times New Roman"/>
        </w:rPr>
      </w:pPr>
      <w:r>
        <w:rPr>
          <w:rFonts w:eastAsia="Times New Roman" w:cs="Times New Roman"/>
        </w:rPr>
        <w:t>Protein bound: &lt;3%</w:t>
      </w:r>
    </w:p>
    <w:p w14:paraId="6A514397" w14:textId="77777777" w:rsidR="00DD2B85" w:rsidRDefault="00DD2B85" w:rsidP="00DD2B85">
      <w:pPr>
        <w:numPr>
          <w:ilvl w:val="0"/>
          <w:numId w:val="11"/>
        </w:numPr>
        <w:spacing w:before="100" w:beforeAutospacing="1" w:after="100" w:afterAutospacing="1"/>
        <w:rPr>
          <w:rFonts w:eastAsia="Times New Roman" w:cs="Times New Roman"/>
        </w:rPr>
      </w:pPr>
      <w:proofErr w:type="spellStart"/>
      <w:r>
        <w:rPr>
          <w:rFonts w:eastAsia="Times New Roman" w:cs="Times New Roman"/>
        </w:rPr>
        <w:t>Vd</w:t>
      </w:r>
      <w:proofErr w:type="spellEnd"/>
      <w:r>
        <w:rPr>
          <w:rFonts w:eastAsia="Times New Roman" w:cs="Times New Roman"/>
        </w:rPr>
        <w:t>: 58 L</w:t>
      </w:r>
    </w:p>
    <w:p w14:paraId="4A9AF25D" w14:textId="77777777" w:rsidR="00DD2B85" w:rsidRDefault="00DD2B85" w:rsidP="00DD2B85">
      <w:pPr>
        <w:pStyle w:val="Heading3"/>
        <w:rPr>
          <w:rFonts w:eastAsia="Times New Roman" w:cs="Times New Roman"/>
        </w:rPr>
      </w:pPr>
      <w:r>
        <w:rPr>
          <w:rFonts w:eastAsia="Times New Roman" w:cs="Times New Roman"/>
        </w:rPr>
        <w:t>Metabolism</w:t>
      </w:r>
    </w:p>
    <w:p w14:paraId="3550B2F3" w14:textId="77777777" w:rsidR="00DD2B85" w:rsidRDefault="00DD2B85" w:rsidP="00DD2B85">
      <w:pPr>
        <w:pStyle w:val="NormalWeb"/>
      </w:pPr>
      <w:r>
        <w:t>Gabapentin is not appreciably metabolized in humans</w:t>
      </w:r>
    </w:p>
    <w:p w14:paraId="73EDF3F5" w14:textId="77777777" w:rsidR="00DD2B85" w:rsidRDefault="00DD2B85" w:rsidP="00DD2B85">
      <w:pPr>
        <w:pStyle w:val="NormalWeb"/>
      </w:pPr>
      <w:r>
        <w:t xml:space="preserve">Not a substrate, inducer, or inhibitor of CYP450 </w:t>
      </w:r>
      <w:proofErr w:type="spellStart"/>
      <w:r>
        <w:t>isoenzymes</w:t>
      </w:r>
      <w:proofErr w:type="spellEnd"/>
    </w:p>
    <w:p w14:paraId="0AB4FC7D" w14:textId="77777777" w:rsidR="00DD2B85" w:rsidRDefault="00DD2B85" w:rsidP="00DD2B85">
      <w:pPr>
        <w:pStyle w:val="Heading3"/>
        <w:rPr>
          <w:rFonts w:eastAsia="Times New Roman" w:cs="Times New Roman"/>
        </w:rPr>
      </w:pPr>
      <w:r>
        <w:rPr>
          <w:rFonts w:eastAsia="Times New Roman" w:cs="Times New Roman"/>
        </w:rPr>
        <w:t>Elimination</w:t>
      </w:r>
    </w:p>
    <w:p w14:paraId="5C46EBE6" w14:textId="77777777" w:rsidR="00DD2B85" w:rsidRDefault="00DD2B85" w:rsidP="00DD2B85">
      <w:pPr>
        <w:pStyle w:val="sect2title"/>
        <w:rPr>
          <w:rFonts w:cs="Times New Roman"/>
        </w:rPr>
      </w:pPr>
      <w:r>
        <w:rPr>
          <w:rFonts w:cs="Times New Roman"/>
        </w:rPr>
        <w:t xml:space="preserve">Neurontin and </w:t>
      </w:r>
      <w:proofErr w:type="spellStart"/>
      <w:r>
        <w:rPr>
          <w:rFonts w:cs="Times New Roman"/>
        </w:rPr>
        <w:t>Gralise</w:t>
      </w:r>
      <w:proofErr w:type="spellEnd"/>
    </w:p>
    <w:p w14:paraId="27D4C201" w14:textId="77777777" w:rsidR="00DD2B85" w:rsidRDefault="00DD2B85" w:rsidP="00DD2B85">
      <w:pPr>
        <w:numPr>
          <w:ilvl w:val="0"/>
          <w:numId w:val="12"/>
        </w:numPr>
        <w:spacing w:before="100" w:beforeAutospacing="1" w:after="100" w:afterAutospacing="1"/>
        <w:rPr>
          <w:rFonts w:eastAsia="Times New Roman" w:cs="Times New Roman"/>
        </w:rPr>
      </w:pPr>
      <w:r>
        <w:rPr>
          <w:rFonts w:eastAsia="Times New Roman" w:cs="Times New Roman"/>
        </w:rPr>
        <w:t xml:space="preserve">Half-life: 5-7 </w:t>
      </w:r>
      <w:proofErr w:type="spellStart"/>
      <w:r>
        <w:rPr>
          <w:rFonts w:eastAsia="Times New Roman" w:cs="Times New Roman"/>
        </w:rPr>
        <w:t>hr</w:t>
      </w:r>
      <w:proofErr w:type="spellEnd"/>
    </w:p>
    <w:p w14:paraId="282365F9" w14:textId="77777777" w:rsidR="00DD2B85" w:rsidRDefault="00DD2B85" w:rsidP="00DD2B85">
      <w:pPr>
        <w:numPr>
          <w:ilvl w:val="0"/>
          <w:numId w:val="12"/>
        </w:numPr>
        <w:spacing w:before="100" w:beforeAutospacing="1" w:after="100" w:afterAutospacing="1"/>
        <w:rPr>
          <w:rFonts w:eastAsia="Times New Roman" w:cs="Times New Roman"/>
        </w:rPr>
      </w:pPr>
      <w:r>
        <w:rPr>
          <w:rFonts w:eastAsia="Times New Roman" w:cs="Times New Roman"/>
        </w:rPr>
        <w:t>Dialyzable: Yes</w:t>
      </w:r>
    </w:p>
    <w:p w14:paraId="710BD17A" w14:textId="77777777" w:rsidR="00DD2B85" w:rsidRDefault="00DD2B85" w:rsidP="00DD2B85">
      <w:pPr>
        <w:numPr>
          <w:ilvl w:val="0"/>
          <w:numId w:val="12"/>
        </w:numPr>
        <w:spacing w:before="100" w:beforeAutospacing="1" w:after="100" w:afterAutospacing="1"/>
        <w:rPr>
          <w:rFonts w:eastAsia="Times New Roman" w:cs="Times New Roman"/>
        </w:rPr>
      </w:pPr>
      <w:r>
        <w:rPr>
          <w:rFonts w:eastAsia="Times New Roman" w:cs="Times New Roman"/>
        </w:rPr>
        <w:t>Renal clearance: 225 mL/min; 125 mL/min (if older than 70 y)</w:t>
      </w:r>
    </w:p>
    <w:p w14:paraId="6D703538" w14:textId="77777777" w:rsidR="00DD2B85" w:rsidRDefault="00DD2B85" w:rsidP="00DD2B85">
      <w:pPr>
        <w:numPr>
          <w:ilvl w:val="0"/>
          <w:numId w:val="12"/>
        </w:numPr>
        <w:spacing w:before="100" w:beforeAutospacing="1" w:after="100" w:afterAutospacing="1"/>
        <w:rPr>
          <w:rFonts w:eastAsia="Times New Roman" w:cs="Times New Roman"/>
        </w:rPr>
      </w:pPr>
      <w:r>
        <w:rPr>
          <w:rFonts w:eastAsia="Times New Roman" w:cs="Times New Roman"/>
        </w:rPr>
        <w:t xml:space="preserve">Total body clearance: Proportional to </w:t>
      </w:r>
      <w:proofErr w:type="spellStart"/>
      <w:r>
        <w:rPr>
          <w:rFonts w:eastAsia="Times New Roman" w:cs="Times New Roman"/>
        </w:rPr>
        <w:t>CrCl</w:t>
      </w:r>
      <w:proofErr w:type="spellEnd"/>
    </w:p>
    <w:p w14:paraId="04B6A7F3" w14:textId="77777777" w:rsidR="00DD2B85" w:rsidRDefault="00DD2B85" w:rsidP="00DD2B85">
      <w:pPr>
        <w:numPr>
          <w:ilvl w:val="0"/>
          <w:numId w:val="12"/>
        </w:numPr>
        <w:spacing w:before="100" w:beforeAutospacing="1" w:after="100" w:afterAutospacing="1"/>
        <w:rPr>
          <w:rFonts w:eastAsia="Times New Roman" w:cs="Times New Roman"/>
        </w:rPr>
      </w:pPr>
      <w:r>
        <w:rPr>
          <w:rFonts w:eastAsia="Times New Roman" w:cs="Times New Roman"/>
        </w:rPr>
        <w:t>Excretion: Urine</w:t>
      </w:r>
    </w:p>
    <w:p w14:paraId="7967DD72" w14:textId="77777777" w:rsidR="004129E3" w:rsidRDefault="004129E3" w:rsidP="004129E3">
      <w:pPr>
        <w:rPr>
          <w:b/>
          <w:u w:val="single"/>
        </w:rPr>
      </w:pPr>
    </w:p>
    <w:p w14:paraId="20A769EF" w14:textId="77777777" w:rsidR="004129E3" w:rsidRPr="00D571F0" w:rsidRDefault="004129E3" w:rsidP="004129E3">
      <w:pPr>
        <w:rPr>
          <w:b/>
          <w:u w:val="single"/>
        </w:rPr>
      </w:pPr>
      <w:r w:rsidRPr="00D571F0">
        <w:rPr>
          <w:b/>
          <w:u w:val="single"/>
        </w:rPr>
        <w:t xml:space="preserve">Indications: </w:t>
      </w:r>
    </w:p>
    <w:p w14:paraId="5197B1B1"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Partial Seizures</w:t>
      </w:r>
    </w:p>
    <w:p w14:paraId="4388B229"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Neurontin</w:t>
      </w:r>
    </w:p>
    <w:p w14:paraId="6E27A715" w14:textId="77777777" w:rsidR="004129E3" w:rsidRPr="00D571F0" w:rsidRDefault="004129E3" w:rsidP="004129E3">
      <w:pPr>
        <w:numPr>
          <w:ilvl w:val="0"/>
          <w:numId w:val="2"/>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Adjunctive therapy for partial seizures with or without secondary generalization</w:t>
      </w:r>
    </w:p>
    <w:p w14:paraId="0241C8D1" w14:textId="77777777" w:rsidR="004129E3" w:rsidRPr="00D571F0" w:rsidRDefault="004129E3" w:rsidP="004129E3">
      <w:pPr>
        <w:numPr>
          <w:ilvl w:val="0"/>
          <w:numId w:val="2"/>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Initial: 300 mg PO q8hr</w:t>
      </w:r>
    </w:p>
    <w:p w14:paraId="30C1BAE4" w14:textId="77777777" w:rsidR="004129E3" w:rsidRPr="00D571F0" w:rsidRDefault="004129E3" w:rsidP="004129E3">
      <w:pPr>
        <w:numPr>
          <w:ilvl w:val="0"/>
          <w:numId w:val="2"/>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May increase up to 600 mg PO q8hr; up to 2400 mg/day administered and tolerated in clinical studies; up to 3600 mg administered for short duration and tolerated</w:t>
      </w:r>
    </w:p>
    <w:p w14:paraId="132B82D1"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proofErr w:type="spellStart"/>
      <w:r w:rsidRPr="00D571F0">
        <w:rPr>
          <w:rFonts w:ascii="Times" w:eastAsia="Times New Roman" w:hAnsi="Times" w:cs="Times New Roman"/>
          <w:b/>
          <w:bCs/>
          <w:sz w:val="27"/>
          <w:szCs w:val="27"/>
          <w:lang w:eastAsia="en-US"/>
        </w:rPr>
        <w:t>Postherpetic</w:t>
      </w:r>
      <w:proofErr w:type="spellEnd"/>
      <w:r w:rsidRPr="00D571F0">
        <w:rPr>
          <w:rFonts w:ascii="Times" w:eastAsia="Times New Roman" w:hAnsi="Times" w:cs="Times New Roman"/>
          <w:b/>
          <w:bCs/>
          <w:sz w:val="27"/>
          <w:szCs w:val="27"/>
          <w:lang w:eastAsia="en-US"/>
        </w:rPr>
        <w:t xml:space="preserve"> Neuralgia</w:t>
      </w:r>
    </w:p>
    <w:p w14:paraId="07464912"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Neurontin</w:t>
      </w:r>
    </w:p>
    <w:p w14:paraId="2E6DF368" w14:textId="77777777" w:rsidR="004129E3" w:rsidRPr="00D571F0" w:rsidRDefault="004129E3" w:rsidP="004129E3">
      <w:pPr>
        <w:numPr>
          <w:ilvl w:val="0"/>
          <w:numId w:val="3"/>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 xml:space="preserve">Day 1: 300 mg PO </w:t>
      </w:r>
      <w:proofErr w:type="spellStart"/>
      <w:r w:rsidRPr="00D571F0">
        <w:rPr>
          <w:rFonts w:ascii="Times" w:eastAsia="Times New Roman" w:hAnsi="Times" w:cs="Times New Roman"/>
          <w:sz w:val="20"/>
          <w:szCs w:val="20"/>
          <w:lang w:eastAsia="en-US"/>
        </w:rPr>
        <w:t>qDay</w:t>
      </w:r>
      <w:proofErr w:type="spellEnd"/>
    </w:p>
    <w:p w14:paraId="4B1FBBA4" w14:textId="77777777" w:rsidR="004129E3" w:rsidRPr="00D571F0" w:rsidRDefault="004129E3" w:rsidP="004129E3">
      <w:pPr>
        <w:numPr>
          <w:ilvl w:val="0"/>
          <w:numId w:val="3"/>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Day 2: 300 mg PO q12hr</w:t>
      </w:r>
    </w:p>
    <w:p w14:paraId="1B6E5AC5" w14:textId="77777777" w:rsidR="004129E3" w:rsidRPr="00D571F0" w:rsidRDefault="004129E3" w:rsidP="004129E3">
      <w:pPr>
        <w:numPr>
          <w:ilvl w:val="0"/>
          <w:numId w:val="3"/>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Day 3: 300 mg PO q8hr</w:t>
      </w:r>
    </w:p>
    <w:p w14:paraId="739D0963" w14:textId="77777777" w:rsidR="004129E3" w:rsidRPr="00D571F0" w:rsidRDefault="004129E3" w:rsidP="004129E3">
      <w:pPr>
        <w:numPr>
          <w:ilvl w:val="0"/>
          <w:numId w:val="3"/>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Maintenance: Subsequently titrate as needed up to 600 mg PO q8hr; doses &gt;1800 mg/day have demonstrated no additional benefit</w:t>
      </w:r>
    </w:p>
    <w:p w14:paraId="6A7E024A" w14:textId="77777777" w:rsidR="004129E3" w:rsidRPr="00D571F0" w:rsidRDefault="004129E3" w:rsidP="004129E3">
      <w:pPr>
        <w:spacing w:before="100" w:beforeAutospacing="1" w:after="100" w:afterAutospacing="1"/>
        <w:rPr>
          <w:rFonts w:ascii="Times" w:hAnsi="Times" w:cs="Times New Roman"/>
          <w:sz w:val="20"/>
          <w:szCs w:val="20"/>
          <w:lang w:eastAsia="en-US"/>
        </w:rPr>
      </w:pPr>
      <w:proofErr w:type="spellStart"/>
      <w:r w:rsidRPr="00D571F0">
        <w:rPr>
          <w:rFonts w:ascii="Times" w:hAnsi="Times" w:cs="Times New Roman"/>
          <w:sz w:val="20"/>
          <w:szCs w:val="20"/>
          <w:lang w:eastAsia="en-US"/>
        </w:rPr>
        <w:t>Gralise</w:t>
      </w:r>
      <w:proofErr w:type="spellEnd"/>
    </w:p>
    <w:p w14:paraId="7F2ABD4D" w14:textId="77777777" w:rsidR="004129E3" w:rsidRPr="00D571F0" w:rsidRDefault="004129E3" w:rsidP="004129E3">
      <w:pPr>
        <w:numPr>
          <w:ilvl w:val="0"/>
          <w:numId w:val="4"/>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 xml:space="preserve">Titrate gradually to 1800 mg/day PO; take </w:t>
      </w:r>
      <w:proofErr w:type="spellStart"/>
      <w:r w:rsidRPr="00D571F0">
        <w:rPr>
          <w:rFonts w:ascii="Times" w:eastAsia="Times New Roman" w:hAnsi="Times" w:cs="Times New Roman"/>
          <w:sz w:val="20"/>
          <w:szCs w:val="20"/>
          <w:lang w:eastAsia="en-US"/>
        </w:rPr>
        <w:t>qDay</w:t>
      </w:r>
      <w:proofErr w:type="spellEnd"/>
      <w:r w:rsidRPr="00D571F0">
        <w:rPr>
          <w:rFonts w:ascii="Times" w:eastAsia="Times New Roman" w:hAnsi="Times" w:cs="Times New Roman"/>
          <w:sz w:val="20"/>
          <w:szCs w:val="20"/>
          <w:lang w:eastAsia="en-US"/>
        </w:rPr>
        <w:t xml:space="preserve"> with evening meal</w:t>
      </w:r>
    </w:p>
    <w:p w14:paraId="25AD2CCF" w14:textId="77777777" w:rsidR="004129E3" w:rsidRPr="00D571F0" w:rsidRDefault="004129E3" w:rsidP="004129E3">
      <w:pPr>
        <w:numPr>
          <w:ilvl w:val="0"/>
          <w:numId w:val="4"/>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 xml:space="preserve">Day 1: 300 mg PO </w:t>
      </w:r>
      <w:proofErr w:type="spellStart"/>
      <w:r w:rsidRPr="00D571F0">
        <w:rPr>
          <w:rFonts w:ascii="Times" w:eastAsia="Times New Roman" w:hAnsi="Times" w:cs="Times New Roman"/>
          <w:sz w:val="20"/>
          <w:szCs w:val="20"/>
          <w:lang w:eastAsia="en-US"/>
        </w:rPr>
        <w:t>qDay</w:t>
      </w:r>
      <w:proofErr w:type="spellEnd"/>
    </w:p>
    <w:p w14:paraId="7F9CC229" w14:textId="77777777" w:rsidR="004129E3" w:rsidRPr="00D571F0" w:rsidRDefault="004129E3" w:rsidP="004129E3">
      <w:pPr>
        <w:numPr>
          <w:ilvl w:val="0"/>
          <w:numId w:val="4"/>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 xml:space="preserve">Day 2: 600 mg PO </w:t>
      </w:r>
      <w:proofErr w:type="spellStart"/>
      <w:r w:rsidRPr="00D571F0">
        <w:rPr>
          <w:rFonts w:ascii="Times" w:eastAsia="Times New Roman" w:hAnsi="Times" w:cs="Times New Roman"/>
          <w:sz w:val="20"/>
          <w:szCs w:val="20"/>
          <w:lang w:eastAsia="en-US"/>
        </w:rPr>
        <w:t>qDay</w:t>
      </w:r>
      <w:proofErr w:type="spellEnd"/>
    </w:p>
    <w:p w14:paraId="3BD18B3E" w14:textId="77777777" w:rsidR="004129E3" w:rsidRPr="00D571F0" w:rsidRDefault="004129E3" w:rsidP="004129E3">
      <w:pPr>
        <w:numPr>
          <w:ilvl w:val="0"/>
          <w:numId w:val="4"/>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 xml:space="preserve">Days 3-6: 900 mg PO </w:t>
      </w:r>
      <w:proofErr w:type="spellStart"/>
      <w:r w:rsidRPr="00D571F0">
        <w:rPr>
          <w:rFonts w:ascii="Times" w:eastAsia="Times New Roman" w:hAnsi="Times" w:cs="Times New Roman"/>
          <w:sz w:val="20"/>
          <w:szCs w:val="20"/>
          <w:lang w:eastAsia="en-US"/>
        </w:rPr>
        <w:t>qDay</w:t>
      </w:r>
      <w:proofErr w:type="spellEnd"/>
    </w:p>
    <w:p w14:paraId="70D7962C" w14:textId="77777777" w:rsidR="004129E3" w:rsidRPr="00D571F0" w:rsidRDefault="004129E3" w:rsidP="004129E3">
      <w:pPr>
        <w:numPr>
          <w:ilvl w:val="0"/>
          <w:numId w:val="4"/>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 xml:space="preserve">Days 7-10: 1200 mg PO </w:t>
      </w:r>
      <w:proofErr w:type="spellStart"/>
      <w:r w:rsidRPr="00D571F0">
        <w:rPr>
          <w:rFonts w:ascii="Times" w:eastAsia="Times New Roman" w:hAnsi="Times" w:cs="Times New Roman"/>
          <w:sz w:val="20"/>
          <w:szCs w:val="20"/>
          <w:lang w:eastAsia="en-US"/>
        </w:rPr>
        <w:t>qDay</w:t>
      </w:r>
      <w:proofErr w:type="spellEnd"/>
    </w:p>
    <w:p w14:paraId="19A90F39" w14:textId="77777777" w:rsidR="004129E3" w:rsidRPr="00D571F0" w:rsidRDefault="004129E3" w:rsidP="004129E3">
      <w:pPr>
        <w:numPr>
          <w:ilvl w:val="0"/>
          <w:numId w:val="4"/>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 xml:space="preserve">Days 11-14: 1500 mg PO </w:t>
      </w:r>
      <w:proofErr w:type="spellStart"/>
      <w:r w:rsidRPr="00D571F0">
        <w:rPr>
          <w:rFonts w:ascii="Times" w:eastAsia="Times New Roman" w:hAnsi="Times" w:cs="Times New Roman"/>
          <w:sz w:val="20"/>
          <w:szCs w:val="20"/>
          <w:lang w:eastAsia="en-US"/>
        </w:rPr>
        <w:t>qDay</w:t>
      </w:r>
      <w:proofErr w:type="spellEnd"/>
    </w:p>
    <w:p w14:paraId="05B9AD4A" w14:textId="77777777" w:rsidR="004129E3" w:rsidRPr="00D571F0" w:rsidRDefault="004129E3" w:rsidP="004129E3">
      <w:pPr>
        <w:numPr>
          <w:ilvl w:val="0"/>
          <w:numId w:val="4"/>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 xml:space="preserve">Day 15 and after (maintenance): 1800 mg PO </w:t>
      </w:r>
      <w:proofErr w:type="spellStart"/>
      <w:r w:rsidRPr="00D571F0">
        <w:rPr>
          <w:rFonts w:ascii="Times" w:eastAsia="Times New Roman" w:hAnsi="Times" w:cs="Times New Roman"/>
          <w:sz w:val="20"/>
          <w:szCs w:val="20"/>
          <w:lang w:eastAsia="en-US"/>
        </w:rPr>
        <w:t>qDay</w:t>
      </w:r>
      <w:proofErr w:type="spellEnd"/>
    </w:p>
    <w:p w14:paraId="3F39B079"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Dosing considerations</w:t>
      </w:r>
    </w:p>
    <w:p w14:paraId="2333DB77" w14:textId="77777777" w:rsidR="004129E3" w:rsidRPr="00D571F0" w:rsidRDefault="004129E3" w:rsidP="004129E3">
      <w:pPr>
        <w:numPr>
          <w:ilvl w:val="0"/>
          <w:numId w:val="5"/>
        </w:numPr>
        <w:spacing w:before="100" w:beforeAutospacing="1" w:after="100" w:afterAutospacing="1"/>
        <w:rPr>
          <w:rFonts w:ascii="Times" w:eastAsia="Times New Roman" w:hAnsi="Times" w:cs="Times New Roman"/>
          <w:sz w:val="20"/>
          <w:szCs w:val="20"/>
          <w:lang w:eastAsia="en-US"/>
        </w:rPr>
      </w:pPr>
      <w:proofErr w:type="spellStart"/>
      <w:r w:rsidRPr="00D571F0">
        <w:rPr>
          <w:rFonts w:ascii="Times" w:eastAsia="Times New Roman" w:hAnsi="Times" w:cs="Times New Roman"/>
          <w:sz w:val="20"/>
          <w:szCs w:val="20"/>
          <w:lang w:eastAsia="en-US"/>
        </w:rPr>
        <w:t>Gralise</w:t>
      </w:r>
      <w:proofErr w:type="spellEnd"/>
      <w:r w:rsidRPr="00D571F0">
        <w:rPr>
          <w:rFonts w:ascii="Times" w:eastAsia="Times New Roman" w:hAnsi="Times" w:cs="Times New Roman"/>
          <w:sz w:val="20"/>
          <w:szCs w:val="20"/>
          <w:lang w:eastAsia="en-US"/>
        </w:rPr>
        <w:t xml:space="preserve"> tablets swell in gastric fluid and gradually release gabapentin</w:t>
      </w:r>
    </w:p>
    <w:p w14:paraId="17771EFA"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Restless legs syndrome (Off-label)</w:t>
      </w:r>
    </w:p>
    <w:p w14:paraId="4FEC1FE1"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 xml:space="preserve">100-300 mg PO 2 </w:t>
      </w:r>
      <w:proofErr w:type="spellStart"/>
      <w:r w:rsidRPr="00D571F0">
        <w:rPr>
          <w:rFonts w:ascii="Times" w:hAnsi="Times" w:cs="Times New Roman"/>
          <w:sz w:val="20"/>
          <w:szCs w:val="20"/>
          <w:lang w:eastAsia="en-US"/>
        </w:rPr>
        <w:t>hr</w:t>
      </w:r>
      <w:proofErr w:type="spellEnd"/>
      <w:r w:rsidRPr="00D571F0">
        <w:rPr>
          <w:rFonts w:ascii="Times" w:hAnsi="Times" w:cs="Times New Roman"/>
          <w:sz w:val="20"/>
          <w:szCs w:val="20"/>
          <w:lang w:eastAsia="en-US"/>
        </w:rPr>
        <w:t xml:space="preserve"> before bedtime on first day; may titrate every 2 weeks until symptom relieve achieved (range 300-1800 mg/day) </w:t>
      </w:r>
    </w:p>
    <w:p w14:paraId="308FEA62"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Cocaine withdrawal (Off-label)</w:t>
      </w:r>
    </w:p>
    <w:p w14:paraId="1C1F7DCE"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 xml:space="preserve">800-1500 mg/day PO in divided doses for up to 9 months </w:t>
      </w:r>
    </w:p>
    <w:p w14:paraId="7F2A1742"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Insomnia (Off-label)</w:t>
      </w:r>
    </w:p>
    <w:p w14:paraId="0CCB2D80"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Up to 1800 mg PO evenings for up to 9 weeks</w:t>
      </w:r>
    </w:p>
    <w:p w14:paraId="699D37FA"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Diabetic Neuropathy (Off-label)</w:t>
      </w:r>
    </w:p>
    <w:p w14:paraId="4F795FAA"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900 mg/day PO initially</w:t>
      </w:r>
      <w:proofErr w:type="gramStart"/>
      <w:r w:rsidRPr="00D571F0">
        <w:rPr>
          <w:rFonts w:ascii="Times" w:hAnsi="Times" w:cs="Times New Roman"/>
          <w:sz w:val="20"/>
          <w:szCs w:val="20"/>
          <w:lang w:eastAsia="en-US"/>
        </w:rPr>
        <w:t>;</w:t>
      </w:r>
      <w:proofErr w:type="gramEnd"/>
      <w:r w:rsidRPr="00D571F0">
        <w:rPr>
          <w:rFonts w:ascii="Times" w:hAnsi="Times" w:cs="Times New Roman"/>
          <w:sz w:val="20"/>
          <w:szCs w:val="20"/>
          <w:lang w:eastAsia="en-US"/>
        </w:rPr>
        <w:t xml:space="preserve"> may increase gradually q3Days to 1800-3600 mg/day</w:t>
      </w:r>
    </w:p>
    <w:p w14:paraId="7E57E188"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Tremors in multiple sclerosis (Off-label)</w:t>
      </w:r>
    </w:p>
    <w:p w14:paraId="0C742A60"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 xml:space="preserve">1200-1800 mg/day PO as </w:t>
      </w:r>
      <w:proofErr w:type="spellStart"/>
      <w:r w:rsidRPr="00D571F0">
        <w:rPr>
          <w:rFonts w:ascii="Times" w:hAnsi="Times" w:cs="Times New Roman"/>
          <w:sz w:val="20"/>
          <w:szCs w:val="20"/>
          <w:lang w:eastAsia="en-US"/>
        </w:rPr>
        <w:t>monotherapy</w:t>
      </w:r>
      <w:proofErr w:type="spellEnd"/>
    </w:p>
    <w:p w14:paraId="5F8A640A"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Hot flashes-cancer related (Off-label)</w:t>
      </w:r>
    </w:p>
    <w:p w14:paraId="5B2CB231"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 xml:space="preserve">200-1600 mg PO </w:t>
      </w:r>
      <w:proofErr w:type="spellStart"/>
      <w:r w:rsidRPr="00D571F0">
        <w:rPr>
          <w:rFonts w:ascii="Times" w:hAnsi="Times" w:cs="Times New Roman"/>
          <w:sz w:val="20"/>
          <w:szCs w:val="20"/>
          <w:lang w:eastAsia="en-US"/>
        </w:rPr>
        <w:t>qDay</w:t>
      </w:r>
      <w:proofErr w:type="spellEnd"/>
      <w:r w:rsidRPr="00D571F0">
        <w:rPr>
          <w:rFonts w:ascii="Times" w:hAnsi="Times" w:cs="Times New Roman"/>
          <w:sz w:val="20"/>
          <w:szCs w:val="20"/>
          <w:lang w:eastAsia="en-US"/>
        </w:rPr>
        <w:t xml:space="preserve"> to q6hr for 4-8 weeks</w:t>
      </w:r>
    </w:p>
    <w:p w14:paraId="5CBCE47B"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Amyotrophic Lateral Sclerosis (Orphan)</w:t>
      </w:r>
    </w:p>
    <w:p w14:paraId="559624FD"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Neurontin</w:t>
      </w:r>
    </w:p>
    <w:p w14:paraId="7C15E3BC"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 xml:space="preserve">Orphan indication sponsor </w:t>
      </w:r>
    </w:p>
    <w:p w14:paraId="6ECE9DBA" w14:textId="77777777" w:rsidR="004129E3" w:rsidRPr="00D571F0" w:rsidRDefault="004129E3" w:rsidP="004129E3">
      <w:pPr>
        <w:numPr>
          <w:ilvl w:val="0"/>
          <w:numId w:val="6"/>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Warner-Lambert Company, Parke-Davis Pharmaceutical Research Division; 2800 Plymouth Road; Ann Arbor, MI 48105</w:t>
      </w:r>
    </w:p>
    <w:p w14:paraId="0785E149" w14:textId="77777777" w:rsidR="004129E3" w:rsidRPr="00D571F0" w:rsidRDefault="004129E3" w:rsidP="004129E3">
      <w:pPr>
        <w:spacing w:before="100" w:beforeAutospacing="1" w:after="100" w:afterAutospacing="1"/>
        <w:outlineLvl w:val="2"/>
        <w:rPr>
          <w:rFonts w:ascii="Times" w:eastAsia="Times New Roman" w:hAnsi="Times" w:cs="Times New Roman"/>
          <w:b/>
          <w:bCs/>
          <w:sz w:val="27"/>
          <w:szCs w:val="27"/>
          <w:lang w:eastAsia="en-US"/>
        </w:rPr>
      </w:pPr>
      <w:r w:rsidRPr="00D571F0">
        <w:rPr>
          <w:rFonts w:ascii="Times" w:eastAsia="Times New Roman" w:hAnsi="Times" w:cs="Times New Roman"/>
          <w:b/>
          <w:bCs/>
          <w:sz w:val="27"/>
          <w:szCs w:val="27"/>
          <w:lang w:eastAsia="en-US"/>
        </w:rPr>
        <w:t>Dosing Modifications</w:t>
      </w:r>
    </w:p>
    <w:p w14:paraId="3620529C"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Renal impairment (Neurontin)</w:t>
      </w:r>
    </w:p>
    <w:p w14:paraId="110E0124" w14:textId="77777777" w:rsidR="004129E3" w:rsidRPr="00D571F0" w:rsidRDefault="004129E3" w:rsidP="004129E3">
      <w:pPr>
        <w:numPr>
          <w:ilvl w:val="0"/>
          <w:numId w:val="7"/>
        </w:numPr>
        <w:spacing w:before="100" w:beforeAutospacing="1" w:after="100" w:afterAutospacing="1"/>
        <w:rPr>
          <w:rFonts w:ascii="Times" w:eastAsia="Times New Roman" w:hAnsi="Times" w:cs="Times New Roman"/>
          <w:sz w:val="20"/>
          <w:szCs w:val="20"/>
          <w:lang w:eastAsia="en-US"/>
        </w:rPr>
      </w:pP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&gt;60 mL/min: 300-1200 mg PO TID</w:t>
      </w:r>
    </w:p>
    <w:p w14:paraId="614E8D14" w14:textId="77777777" w:rsidR="004129E3" w:rsidRPr="00D571F0" w:rsidRDefault="004129E3" w:rsidP="004129E3">
      <w:pPr>
        <w:numPr>
          <w:ilvl w:val="0"/>
          <w:numId w:val="7"/>
        </w:numPr>
        <w:spacing w:before="100" w:beforeAutospacing="1" w:after="100" w:afterAutospacing="1"/>
        <w:rPr>
          <w:rFonts w:ascii="Times" w:eastAsia="Times New Roman" w:hAnsi="Times" w:cs="Times New Roman"/>
          <w:sz w:val="20"/>
          <w:szCs w:val="20"/>
          <w:lang w:eastAsia="en-US"/>
        </w:rPr>
      </w:pP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30-60 mL/min: 200-700 mg q12hr</w:t>
      </w:r>
    </w:p>
    <w:p w14:paraId="1D8731A7" w14:textId="77777777" w:rsidR="004129E3" w:rsidRPr="00D571F0" w:rsidRDefault="004129E3" w:rsidP="004129E3">
      <w:pPr>
        <w:numPr>
          <w:ilvl w:val="0"/>
          <w:numId w:val="7"/>
        </w:numPr>
        <w:spacing w:before="100" w:beforeAutospacing="1" w:after="100" w:afterAutospacing="1"/>
        <w:rPr>
          <w:rFonts w:ascii="Times" w:eastAsia="Times New Roman" w:hAnsi="Times" w:cs="Times New Roman"/>
          <w:sz w:val="20"/>
          <w:szCs w:val="20"/>
          <w:lang w:eastAsia="en-US"/>
        </w:rPr>
      </w:pP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15-29 mL/min: 200-700 mg </w:t>
      </w:r>
      <w:proofErr w:type="spellStart"/>
      <w:r w:rsidRPr="00D571F0">
        <w:rPr>
          <w:rFonts w:ascii="Times" w:eastAsia="Times New Roman" w:hAnsi="Times" w:cs="Times New Roman"/>
          <w:sz w:val="20"/>
          <w:szCs w:val="20"/>
          <w:lang w:eastAsia="en-US"/>
        </w:rPr>
        <w:t>qDay</w:t>
      </w:r>
      <w:proofErr w:type="spellEnd"/>
    </w:p>
    <w:p w14:paraId="66889108" w14:textId="77777777" w:rsidR="004129E3" w:rsidRPr="00D571F0" w:rsidRDefault="004129E3" w:rsidP="004129E3">
      <w:pPr>
        <w:numPr>
          <w:ilvl w:val="0"/>
          <w:numId w:val="7"/>
        </w:numPr>
        <w:spacing w:before="100" w:beforeAutospacing="1" w:after="100" w:afterAutospacing="1"/>
        <w:rPr>
          <w:rFonts w:ascii="Times" w:eastAsia="Times New Roman" w:hAnsi="Times" w:cs="Times New Roman"/>
          <w:sz w:val="20"/>
          <w:szCs w:val="20"/>
          <w:lang w:eastAsia="en-US"/>
        </w:rPr>
      </w:pP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&lt;15 mL/min: 100-300 mg </w:t>
      </w:r>
      <w:proofErr w:type="spellStart"/>
      <w:r w:rsidRPr="00D571F0">
        <w:rPr>
          <w:rFonts w:ascii="Times" w:eastAsia="Times New Roman" w:hAnsi="Times" w:cs="Times New Roman"/>
          <w:sz w:val="20"/>
          <w:szCs w:val="20"/>
          <w:lang w:eastAsia="en-US"/>
        </w:rPr>
        <w:t>qDay</w:t>
      </w:r>
      <w:proofErr w:type="spellEnd"/>
    </w:p>
    <w:p w14:paraId="2030D70B" w14:textId="77777777" w:rsidR="004129E3" w:rsidRPr="00D571F0" w:rsidRDefault="004129E3" w:rsidP="004129E3">
      <w:pPr>
        <w:numPr>
          <w:ilvl w:val="0"/>
          <w:numId w:val="7"/>
        </w:numPr>
        <w:spacing w:before="100" w:beforeAutospacing="1" w:after="100" w:afterAutospacing="1"/>
        <w:rPr>
          <w:rFonts w:ascii="Times" w:eastAsia="Times New Roman" w:hAnsi="Times" w:cs="Times New Roman"/>
          <w:sz w:val="20"/>
          <w:szCs w:val="20"/>
          <w:lang w:eastAsia="en-US"/>
        </w:rPr>
      </w:pPr>
      <w:r w:rsidRPr="00D571F0">
        <w:rPr>
          <w:rFonts w:ascii="Times" w:eastAsia="Times New Roman" w:hAnsi="Times" w:cs="Times New Roman"/>
          <w:sz w:val="20"/>
          <w:szCs w:val="20"/>
          <w:lang w:eastAsia="en-US"/>
        </w:rPr>
        <w:t>Hemodialysis (</w:t>
      </w: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&lt;15 mL/min): Administer supplemental dose (range 125-350 mg) </w:t>
      </w:r>
      <w:proofErr w:type="spellStart"/>
      <w:r w:rsidRPr="00D571F0">
        <w:rPr>
          <w:rFonts w:ascii="Times" w:eastAsia="Times New Roman" w:hAnsi="Times" w:cs="Times New Roman"/>
          <w:sz w:val="20"/>
          <w:szCs w:val="20"/>
          <w:lang w:eastAsia="en-US"/>
        </w:rPr>
        <w:t>posthemodialysis</w:t>
      </w:r>
      <w:proofErr w:type="spellEnd"/>
      <w:r w:rsidRPr="00D571F0">
        <w:rPr>
          <w:rFonts w:ascii="Times" w:eastAsia="Times New Roman" w:hAnsi="Times" w:cs="Times New Roman"/>
          <w:sz w:val="20"/>
          <w:szCs w:val="20"/>
          <w:lang w:eastAsia="en-US"/>
        </w:rPr>
        <w:t xml:space="preserve">, after each 4 </w:t>
      </w:r>
      <w:proofErr w:type="spellStart"/>
      <w:r w:rsidRPr="00D571F0">
        <w:rPr>
          <w:rFonts w:ascii="Times" w:eastAsia="Times New Roman" w:hAnsi="Times" w:cs="Times New Roman"/>
          <w:sz w:val="20"/>
          <w:szCs w:val="20"/>
          <w:lang w:eastAsia="en-US"/>
        </w:rPr>
        <w:t>hr</w:t>
      </w:r>
      <w:proofErr w:type="spellEnd"/>
      <w:r w:rsidRPr="00D571F0">
        <w:rPr>
          <w:rFonts w:ascii="Times" w:eastAsia="Times New Roman" w:hAnsi="Times" w:cs="Times New Roman"/>
          <w:sz w:val="20"/>
          <w:szCs w:val="20"/>
          <w:lang w:eastAsia="en-US"/>
        </w:rPr>
        <w:t xml:space="preserve"> dialysis interval; further dose reduction should be in proportion to </w:t>
      </w: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w:t>
      </w:r>
      <w:proofErr w:type="spellStart"/>
      <w:r w:rsidRPr="00D571F0">
        <w:rPr>
          <w:rFonts w:ascii="Times" w:eastAsia="Times New Roman" w:hAnsi="Times" w:cs="Times New Roman"/>
          <w:sz w:val="20"/>
          <w:szCs w:val="20"/>
          <w:lang w:eastAsia="en-US"/>
        </w:rPr>
        <w:t>eg</w:t>
      </w:r>
      <w:proofErr w:type="spellEnd"/>
      <w:r w:rsidRPr="00D571F0">
        <w:rPr>
          <w:rFonts w:ascii="Times" w:eastAsia="Times New Roman" w:hAnsi="Times" w:cs="Times New Roman"/>
          <w:sz w:val="20"/>
          <w:szCs w:val="20"/>
          <w:lang w:eastAsia="en-US"/>
        </w:rPr>
        <w:t xml:space="preserve">, </w:t>
      </w: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of 7.5 mL/min should receive one-half daily </w:t>
      </w:r>
      <w:proofErr w:type="spellStart"/>
      <w:r w:rsidRPr="00D571F0">
        <w:rPr>
          <w:rFonts w:ascii="Times" w:eastAsia="Times New Roman" w:hAnsi="Times" w:cs="Times New Roman"/>
          <w:sz w:val="20"/>
          <w:szCs w:val="20"/>
          <w:lang w:eastAsia="en-US"/>
        </w:rPr>
        <w:t>posthemodialysis</w:t>
      </w:r>
      <w:proofErr w:type="spellEnd"/>
      <w:r w:rsidRPr="00D571F0">
        <w:rPr>
          <w:rFonts w:ascii="Times" w:eastAsia="Times New Roman" w:hAnsi="Times" w:cs="Times New Roman"/>
          <w:sz w:val="20"/>
          <w:szCs w:val="20"/>
          <w:lang w:eastAsia="en-US"/>
        </w:rPr>
        <w:t xml:space="preserve"> dose)</w:t>
      </w:r>
    </w:p>
    <w:p w14:paraId="0CB6937F" w14:textId="77777777" w:rsidR="004129E3" w:rsidRPr="00D571F0" w:rsidRDefault="004129E3" w:rsidP="004129E3">
      <w:pPr>
        <w:spacing w:before="100" w:beforeAutospacing="1" w:after="100" w:afterAutospacing="1"/>
        <w:rPr>
          <w:rFonts w:ascii="Times" w:hAnsi="Times" w:cs="Times New Roman"/>
          <w:sz w:val="20"/>
          <w:szCs w:val="20"/>
          <w:lang w:eastAsia="en-US"/>
        </w:rPr>
      </w:pPr>
      <w:r w:rsidRPr="00D571F0">
        <w:rPr>
          <w:rFonts w:ascii="Times" w:hAnsi="Times" w:cs="Times New Roman"/>
          <w:sz w:val="20"/>
          <w:szCs w:val="20"/>
          <w:lang w:eastAsia="en-US"/>
        </w:rPr>
        <w:t>Renal impairment (</w:t>
      </w:r>
      <w:proofErr w:type="spellStart"/>
      <w:r w:rsidRPr="00D571F0">
        <w:rPr>
          <w:rFonts w:ascii="Times" w:hAnsi="Times" w:cs="Times New Roman"/>
          <w:sz w:val="20"/>
          <w:szCs w:val="20"/>
          <w:lang w:eastAsia="en-US"/>
        </w:rPr>
        <w:t>Gralise</w:t>
      </w:r>
      <w:proofErr w:type="spellEnd"/>
      <w:r w:rsidRPr="00D571F0">
        <w:rPr>
          <w:rFonts w:ascii="Times" w:hAnsi="Times" w:cs="Times New Roman"/>
          <w:sz w:val="20"/>
          <w:szCs w:val="20"/>
          <w:lang w:eastAsia="en-US"/>
        </w:rPr>
        <w:t>)</w:t>
      </w:r>
    </w:p>
    <w:p w14:paraId="53452216" w14:textId="77777777" w:rsidR="004129E3" w:rsidRPr="00D571F0" w:rsidRDefault="004129E3" w:rsidP="004129E3">
      <w:pPr>
        <w:numPr>
          <w:ilvl w:val="0"/>
          <w:numId w:val="8"/>
        </w:numPr>
        <w:spacing w:before="100" w:beforeAutospacing="1" w:after="100" w:afterAutospacing="1"/>
        <w:rPr>
          <w:rFonts w:ascii="Times" w:eastAsia="Times New Roman" w:hAnsi="Times" w:cs="Times New Roman"/>
          <w:sz w:val="20"/>
          <w:szCs w:val="20"/>
          <w:lang w:eastAsia="en-US"/>
        </w:rPr>
      </w:pP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≥60 mL/min: 1800 mg </w:t>
      </w:r>
      <w:proofErr w:type="spellStart"/>
      <w:r w:rsidRPr="00D571F0">
        <w:rPr>
          <w:rFonts w:ascii="Times" w:eastAsia="Times New Roman" w:hAnsi="Times" w:cs="Times New Roman"/>
          <w:sz w:val="20"/>
          <w:szCs w:val="20"/>
          <w:lang w:eastAsia="en-US"/>
        </w:rPr>
        <w:t>qDay</w:t>
      </w:r>
      <w:proofErr w:type="spellEnd"/>
      <w:r w:rsidRPr="00D571F0">
        <w:rPr>
          <w:rFonts w:ascii="Times" w:eastAsia="Times New Roman" w:hAnsi="Times" w:cs="Times New Roman"/>
          <w:sz w:val="20"/>
          <w:szCs w:val="20"/>
          <w:lang w:eastAsia="en-US"/>
        </w:rPr>
        <w:t xml:space="preserve"> with evening meal</w:t>
      </w:r>
    </w:p>
    <w:p w14:paraId="1E39939D" w14:textId="77777777" w:rsidR="004129E3" w:rsidRPr="00D571F0" w:rsidRDefault="004129E3" w:rsidP="004129E3">
      <w:pPr>
        <w:numPr>
          <w:ilvl w:val="0"/>
          <w:numId w:val="8"/>
        </w:numPr>
        <w:spacing w:before="100" w:beforeAutospacing="1" w:after="100" w:afterAutospacing="1"/>
        <w:rPr>
          <w:rFonts w:ascii="Times" w:eastAsia="Times New Roman" w:hAnsi="Times" w:cs="Times New Roman"/>
          <w:sz w:val="20"/>
          <w:szCs w:val="20"/>
          <w:lang w:eastAsia="en-US"/>
        </w:rPr>
      </w:pP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30-59 mL/min: 600-1800 mg </w:t>
      </w:r>
      <w:proofErr w:type="spellStart"/>
      <w:r w:rsidRPr="00D571F0">
        <w:rPr>
          <w:rFonts w:ascii="Times" w:eastAsia="Times New Roman" w:hAnsi="Times" w:cs="Times New Roman"/>
          <w:sz w:val="20"/>
          <w:szCs w:val="20"/>
          <w:lang w:eastAsia="en-US"/>
        </w:rPr>
        <w:t>qDay</w:t>
      </w:r>
      <w:proofErr w:type="spellEnd"/>
      <w:r w:rsidRPr="00D571F0">
        <w:rPr>
          <w:rFonts w:ascii="Times" w:eastAsia="Times New Roman" w:hAnsi="Times" w:cs="Times New Roman"/>
          <w:sz w:val="20"/>
          <w:szCs w:val="20"/>
          <w:lang w:eastAsia="en-US"/>
        </w:rPr>
        <w:t xml:space="preserve"> with evening meal</w:t>
      </w:r>
    </w:p>
    <w:p w14:paraId="21E0BDE9" w14:textId="77777777" w:rsidR="004129E3" w:rsidRPr="00D571F0" w:rsidRDefault="004129E3" w:rsidP="004129E3">
      <w:pPr>
        <w:numPr>
          <w:ilvl w:val="0"/>
          <w:numId w:val="8"/>
        </w:numPr>
        <w:spacing w:before="100" w:beforeAutospacing="1" w:after="100" w:afterAutospacing="1"/>
        <w:rPr>
          <w:rFonts w:ascii="Times" w:eastAsia="Times New Roman" w:hAnsi="Times" w:cs="Times New Roman"/>
          <w:sz w:val="20"/>
          <w:szCs w:val="20"/>
          <w:lang w:eastAsia="en-US"/>
        </w:rPr>
      </w:pPr>
      <w:proofErr w:type="spellStart"/>
      <w:r w:rsidRPr="00D571F0">
        <w:rPr>
          <w:rFonts w:ascii="Times" w:eastAsia="Times New Roman" w:hAnsi="Times" w:cs="Times New Roman"/>
          <w:sz w:val="20"/>
          <w:szCs w:val="20"/>
          <w:lang w:eastAsia="en-US"/>
        </w:rPr>
        <w:t>CrCl</w:t>
      </w:r>
      <w:proofErr w:type="spellEnd"/>
      <w:r w:rsidRPr="00D571F0">
        <w:rPr>
          <w:rFonts w:ascii="Times" w:eastAsia="Times New Roman" w:hAnsi="Times" w:cs="Times New Roman"/>
          <w:sz w:val="20"/>
          <w:szCs w:val="20"/>
          <w:lang w:eastAsia="en-US"/>
        </w:rPr>
        <w:t xml:space="preserve"> &lt;30 mL/min or hemodialysis: Do not administer</w:t>
      </w:r>
    </w:p>
    <w:p w14:paraId="45E25F3F" w14:textId="77777777" w:rsidR="008D4225" w:rsidRDefault="00DA7053"/>
    <w:p w14:paraId="186CD84B" w14:textId="77777777" w:rsidR="009A501C" w:rsidRPr="00A40942" w:rsidRDefault="009A501C" w:rsidP="009A501C">
      <w:pPr>
        <w:spacing w:beforeLines="1" w:before="2" w:afterLines="1" w:after="2"/>
        <w:outlineLvl w:val="1"/>
        <w:rPr>
          <w:rFonts w:ascii="Times" w:hAnsi="Times"/>
          <w:b/>
          <w:sz w:val="36"/>
          <w:szCs w:val="20"/>
        </w:rPr>
      </w:pPr>
      <w:r w:rsidRPr="00A40942">
        <w:rPr>
          <w:rFonts w:ascii="Times" w:hAnsi="Times"/>
          <w:b/>
          <w:sz w:val="36"/>
          <w:szCs w:val="20"/>
        </w:rPr>
        <w:t>Advantages of Using Gabapentin for Anxiety</w:t>
      </w:r>
    </w:p>
    <w:p w14:paraId="22B27802" w14:textId="77777777" w:rsidR="009A501C" w:rsidRPr="00937C2B" w:rsidRDefault="009A501C" w:rsidP="009A501C">
      <w:pPr>
        <w:spacing w:beforeLines="1" w:before="2" w:afterLines="1" w:after="2"/>
        <w:rPr>
          <w:rFonts w:ascii="Times" w:hAnsi="Times" w:cs="Times New Roman"/>
          <w:sz w:val="20"/>
          <w:szCs w:val="20"/>
          <w:u w:val="single"/>
        </w:rPr>
      </w:pPr>
      <w:r w:rsidRPr="00A40942">
        <w:rPr>
          <w:rFonts w:ascii="Times" w:hAnsi="Times" w:cs="Times New Roman"/>
          <w:sz w:val="20"/>
          <w:szCs w:val="20"/>
        </w:rPr>
        <w:t>There may be some advantages associated with using Gabapentin for anxiety over other medications.  The most notable advantage is that Gabapentin has a different mechanism of action compared to standard first-line treatments of anxiety such as serotonergic antidepressants.</w:t>
      </w:r>
      <w:r>
        <w:rPr>
          <w:rFonts w:ascii="Times" w:hAnsi="Times" w:cs="Times New Roman"/>
          <w:sz w:val="20"/>
          <w:szCs w:val="20"/>
        </w:rPr>
        <w:t xml:space="preserve"> </w:t>
      </w:r>
      <w:r w:rsidRPr="00937C2B">
        <w:rPr>
          <w:rFonts w:ascii="Times" w:hAnsi="Times" w:cs="Times New Roman"/>
          <w:sz w:val="20"/>
          <w:szCs w:val="20"/>
          <w:u w:val="single"/>
        </w:rPr>
        <w:t xml:space="preserve">NOTE: is approved for anxiety in Europe. </w:t>
      </w:r>
    </w:p>
    <w:p w14:paraId="33B2B87F" w14:textId="77777777" w:rsidR="009A501C" w:rsidRPr="00A40942" w:rsidRDefault="009A501C" w:rsidP="009A501C">
      <w:pPr>
        <w:numPr>
          <w:ilvl w:val="0"/>
          <w:numId w:val="1"/>
        </w:numPr>
        <w:spacing w:beforeLines="1" w:before="2" w:afterLines="1" w:after="2"/>
        <w:rPr>
          <w:rFonts w:ascii="Times" w:hAnsi="Times"/>
          <w:sz w:val="20"/>
          <w:szCs w:val="20"/>
        </w:rPr>
      </w:pPr>
      <w:r w:rsidRPr="00A40942">
        <w:rPr>
          <w:rFonts w:ascii="Times" w:hAnsi="Times"/>
          <w:b/>
          <w:sz w:val="20"/>
          <w:szCs w:val="20"/>
        </w:rPr>
        <w:t>Adjunct treatment</w:t>
      </w:r>
      <w:r w:rsidRPr="00A40942">
        <w:rPr>
          <w:rFonts w:ascii="Times" w:hAnsi="Times"/>
          <w:sz w:val="20"/>
          <w:szCs w:val="20"/>
        </w:rPr>
        <w:t>: Gabapentin may be helpful for some individuals as an adjunct treatment. It is commonly used as an adjunct anticonvulsant and may be an effective adjunct to an antidepressant for the treatment of anxiety.  Further investigation is warranted, but due to its unique mechanism of action, it may have synergistic effects when used with other meds.</w:t>
      </w:r>
    </w:p>
    <w:p w14:paraId="6A5CBCD2" w14:textId="77777777" w:rsidR="009A501C" w:rsidRPr="00A40942" w:rsidRDefault="009A501C" w:rsidP="009A501C">
      <w:pPr>
        <w:numPr>
          <w:ilvl w:val="0"/>
          <w:numId w:val="1"/>
        </w:numPr>
        <w:spacing w:beforeLines="1" w:before="2" w:afterLines="1" w:after="2"/>
        <w:rPr>
          <w:rFonts w:ascii="Times" w:hAnsi="Times"/>
          <w:sz w:val="20"/>
          <w:szCs w:val="20"/>
        </w:rPr>
      </w:pPr>
      <w:r w:rsidRPr="00A40942">
        <w:rPr>
          <w:rFonts w:ascii="Times" w:hAnsi="Times"/>
          <w:b/>
          <w:sz w:val="20"/>
          <w:szCs w:val="20"/>
        </w:rPr>
        <w:t>Alternative mechanism of action</w:t>
      </w:r>
      <w:r w:rsidRPr="00A40942">
        <w:rPr>
          <w:rFonts w:ascii="Times" w:hAnsi="Times"/>
          <w:sz w:val="20"/>
          <w:szCs w:val="20"/>
        </w:rPr>
        <w:t>: Let’s face it, not everyone responds to traditional anxiolytic interventions for the treatment of anxiety. Traditional interventions include antidepressants and benzodiazepines.  Those that don’t respond well to first-line treatments in terms of symptomatic reduction and tolerability may want to consider Gabapentin.  Gabapentin is thought to function by increasing GABA synthesis by regulating enzymes.</w:t>
      </w:r>
    </w:p>
    <w:p w14:paraId="02C4B895" w14:textId="77777777" w:rsidR="009A501C" w:rsidRPr="00A40942" w:rsidRDefault="009A501C" w:rsidP="009A501C">
      <w:pPr>
        <w:numPr>
          <w:ilvl w:val="0"/>
          <w:numId w:val="1"/>
        </w:numPr>
        <w:spacing w:beforeLines="1" w:before="2" w:afterLines="1" w:after="2"/>
        <w:rPr>
          <w:rFonts w:ascii="Times" w:hAnsi="Times"/>
          <w:sz w:val="20"/>
          <w:szCs w:val="20"/>
        </w:rPr>
      </w:pPr>
      <w:r w:rsidRPr="00A40942">
        <w:rPr>
          <w:rFonts w:ascii="Times" w:hAnsi="Times"/>
          <w:b/>
          <w:sz w:val="20"/>
          <w:szCs w:val="20"/>
        </w:rPr>
        <w:t>Anxiety reduction</w:t>
      </w:r>
      <w:r w:rsidRPr="00A40942">
        <w:rPr>
          <w:rFonts w:ascii="Times" w:hAnsi="Times"/>
          <w:sz w:val="20"/>
          <w:szCs w:val="20"/>
        </w:rPr>
        <w:t xml:space="preserve">: Most studies suggest that Gabapentin is an effective treatment for anxiety. Although </w:t>
      </w:r>
      <w:proofErr w:type="gramStart"/>
      <w:r w:rsidRPr="00A40942">
        <w:rPr>
          <w:rFonts w:ascii="Times" w:hAnsi="Times"/>
          <w:sz w:val="20"/>
          <w:szCs w:val="20"/>
        </w:rPr>
        <w:t>it hasn’t been formally approved by the FDA</w:t>
      </w:r>
      <w:proofErr w:type="gramEnd"/>
      <w:r w:rsidRPr="00A40942">
        <w:rPr>
          <w:rFonts w:ascii="Times" w:hAnsi="Times"/>
          <w:sz w:val="20"/>
          <w:szCs w:val="20"/>
        </w:rPr>
        <w:t>, nearly every study analyzing its anxiolytic effect has found some degree of benefit.  In addition, it appears to be effective in treating a variety of different anxiety subtypes.</w:t>
      </w:r>
    </w:p>
    <w:p w14:paraId="4FE9DC02" w14:textId="77777777" w:rsidR="009A501C" w:rsidRPr="00A40942" w:rsidRDefault="009A501C" w:rsidP="009A501C">
      <w:pPr>
        <w:numPr>
          <w:ilvl w:val="0"/>
          <w:numId w:val="1"/>
        </w:numPr>
        <w:spacing w:beforeLines="1" w:before="2" w:afterLines="1" w:after="2"/>
        <w:rPr>
          <w:rFonts w:ascii="Times" w:hAnsi="Times"/>
          <w:sz w:val="20"/>
          <w:szCs w:val="20"/>
        </w:rPr>
      </w:pPr>
      <w:r w:rsidRPr="00A40942">
        <w:rPr>
          <w:rFonts w:ascii="Times" w:hAnsi="Times"/>
          <w:b/>
          <w:sz w:val="20"/>
          <w:szCs w:val="20"/>
        </w:rPr>
        <w:t>Comorbid neuropathic pain</w:t>
      </w:r>
      <w:r w:rsidRPr="00A40942">
        <w:rPr>
          <w:rFonts w:ascii="Times" w:hAnsi="Times"/>
          <w:sz w:val="20"/>
          <w:szCs w:val="20"/>
        </w:rPr>
        <w:t>: Those with anxiety and comorbid neuropathic pain (or vice-versa) may benefit significantly from Gabapentin. It is clinically approved and considered effective for various types of neuropathic pain, and preliminary evidence suggests that it reduces anxiety.  Therefore individuals with anxiety and comorbid neuropathic pain may derive significant benefit from Gabapentin.</w:t>
      </w:r>
    </w:p>
    <w:p w14:paraId="59AA1530" w14:textId="77777777" w:rsidR="009A501C" w:rsidRPr="00A40942" w:rsidRDefault="009A501C" w:rsidP="009A501C">
      <w:pPr>
        <w:numPr>
          <w:ilvl w:val="0"/>
          <w:numId w:val="1"/>
        </w:numPr>
        <w:spacing w:beforeLines="1" w:before="2" w:afterLines="1" w:after="2"/>
        <w:rPr>
          <w:rFonts w:ascii="Times" w:hAnsi="Times"/>
          <w:sz w:val="20"/>
          <w:szCs w:val="20"/>
        </w:rPr>
      </w:pPr>
      <w:r w:rsidRPr="00A40942">
        <w:rPr>
          <w:rFonts w:ascii="Times" w:hAnsi="Times"/>
          <w:b/>
          <w:sz w:val="20"/>
          <w:szCs w:val="20"/>
        </w:rPr>
        <w:t>Potential mood boost</w:t>
      </w:r>
      <w:r w:rsidRPr="00A40942">
        <w:rPr>
          <w:rFonts w:ascii="Times" w:hAnsi="Times"/>
          <w:sz w:val="20"/>
          <w:szCs w:val="20"/>
        </w:rPr>
        <w:t xml:space="preserve">: There is some evidence to suggest that some people feel less depressed when they take Gabapentin. Although its mechanism of action isn’t </w:t>
      </w:r>
      <w:proofErr w:type="gramStart"/>
      <w:r w:rsidRPr="00A40942">
        <w:rPr>
          <w:rFonts w:ascii="Times" w:hAnsi="Times"/>
          <w:sz w:val="20"/>
          <w:szCs w:val="20"/>
        </w:rPr>
        <w:t>well-understood</w:t>
      </w:r>
      <w:proofErr w:type="gramEnd"/>
      <w:r w:rsidRPr="00A40942">
        <w:rPr>
          <w:rFonts w:ascii="Times" w:hAnsi="Times"/>
          <w:sz w:val="20"/>
          <w:szCs w:val="20"/>
        </w:rPr>
        <w:t>, it may boost mood among those with depression or depressive features.</w:t>
      </w:r>
    </w:p>
    <w:p w14:paraId="6CFBC8D2" w14:textId="77777777" w:rsidR="009A501C" w:rsidRPr="00A40942" w:rsidRDefault="009A501C" w:rsidP="009A501C">
      <w:pPr>
        <w:numPr>
          <w:ilvl w:val="0"/>
          <w:numId w:val="1"/>
        </w:numPr>
        <w:spacing w:beforeLines="1" w:before="2" w:afterLines="1" w:after="2"/>
        <w:rPr>
          <w:rFonts w:ascii="Times" w:hAnsi="Times"/>
          <w:sz w:val="20"/>
          <w:szCs w:val="20"/>
        </w:rPr>
      </w:pPr>
      <w:r w:rsidRPr="00A40942">
        <w:rPr>
          <w:rFonts w:ascii="Times" w:hAnsi="Times"/>
          <w:b/>
          <w:sz w:val="20"/>
          <w:szCs w:val="20"/>
        </w:rPr>
        <w:t>Side effects</w:t>
      </w:r>
      <w:r w:rsidRPr="00A40942">
        <w:rPr>
          <w:rFonts w:ascii="Times" w:hAnsi="Times"/>
          <w:sz w:val="20"/>
          <w:szCs w:val="20"/>
        </w:rPr>
        <w:t>: The side effect profile is considered minimal and may be favorable compared to other anxiolytic medications. Common side effects associated with Gabapentin include: dizziness, coordination problems, eye movements, and tremors.  Due to the fact that no weight gain or significant sexual dysfunction is reported – Gabapentin may be preferred over SSRIs.</w:t>
      </w:r>
    </w:p>
    <w:p w14:paraId="12542032" w14:textId="77777777" w:rsidR="009A501C" w:rsidRDefault="009A501C" w:rsidP="009A501C">
      <w:pPr>
        <w:numPr>
          <w:ilvl w:val="0"/>
          <w:numId w:val="1"/>
        </w:numPr>
        <w:spacing w:beforeLines="1" w:before="2" w:afterLines="1" w:after="2"/>
        <w:rPr>
          <w:rFonts w:ascii="Times" w:hAnsi="Times"/>
          <w:sz w:val="20"/>
          <w:szCs w:val="20"/>
        </w:rPr>
      </w:pPr>
      <w:r w:rsidRPr="00A40942">
        <w:rPr>
          <w:rFonts w:ascii="Times" w:hAnsi="Times"/>
          <w:b/>
          <w:sz w:val="20"/>
          <w:szCs w:val="20"/>
        </w:rPr>
        <w:t>Weight neutral</w:t>
      </w:r>
      <w:r w:rsidRPr="00A40942">
        <w:rPr>
          <w:rFonts w:ascii="Times" w:hAnsi="Times"/>
          <w:sz w:val="20"/>
          <w:szCs w:val="20"/>
        </w:rPr>
        <w:t>: It appears as though Gabapentin is a “weight neutral” drug in that weight gain or loss is uncommon for the majority of users. While weight fluctuations may occur in some individuals, most users will maintain a baseline weight throughout treatment.</w:t>
      </w:r>
    </w:p>
    <w:p w14:paraId="4063D40A" w14:textId="77777777" w:rsidR="004129E3" w:rsidRDefault="004129E3" w:rsidP="004129E3">
      <w:pPr>
        <w:spacing w:beforeLines="1" w:before="2" w:afterLines="1" w:after="2"/>
        <w:ind w:left="360"/>
        <w:rPr>
          <w:rFonts w:ascii="Times" w:hAnsi="Times"/>
          <w:b/>
          <w:sz w:val="20"/>
          <w:szCs w:val="20"/>
        </w:rPr>
      </w:pPr>
    </w:p>
    <w:p w14:paraId="50CA4E1C" w14:textId="77777777" w:rsidR="004129E3" w:rsidRPr="004129E3" w:rsidRDefault="004129E3" w:rsidP="004129E3">
      <w:pPr>
        <w:spacing w:beforeLines="1" w:before="2" w:afterLines="1" w:after="2"/>
        <w:ind w:left="360"/>
        <w:rPr>
          <w:rFonts w:ascii="Times" w:hAnsi="Times"/>
          <w:sz w:val="22"/>
          <w:szCs w:val="22"/>
          <w:u w:val="single"/>
        </w:rPr>
      </w:pPr>
      <w:r w:rsidRPr="004129E3">
        <w:rPr>
          <w:rFonts w:ascii="Times" w:hAnsi="Times"/>
          <w:b/>
          <w:sz w:val="22"/>
          <w:szCs w:val="22"/>
          <w:u w:val="single"/>
        </w:rPr>
        <w:t>ADVERSE REACTIONS</w:t>
      </w:r>
    </w:p>
    <w:p w14:paraId="7C237723" w14:textId="77777777" w:rsidR="004129E3" w:rsidRPr="004129E3" w:rsidRDefault="004129E3" w:rsidP="004129E3">
      <w:pPr>
        <w:pStyle w:val="ListParagraph"/>
        <w:numPr>
          <w:ilvl w:val="0"/>
          <w:numId w:val="1"/>
        </w:numPr>
        <w:spacing w:before="100" w:beforeAutospacing="1" w:after="100" w:afterAutospacing="1"/>
        <w:outlineLvl w:val="2"/>
        <w:rPr>
          <w:rFonts w:ascii="Times" w:eastAsia="Times New Roman" w:hAnsi="Times" w:cs="Times New Roman"/>
          <w:b/>
          <w:bCs/>
          <w:sz w:val="27"/>
          <w:szCs w:val="27"/>
          <w:lang w:eastAsia="en-US"/>
        </w:rPr>
      </w:pPr>
      <w:r w:rsidRPr="004129E3">
        <w:rPr>
          <w:rFonts w:ascii="Times" w:eastAsia="Times New Roman" w:hAnsi="Times" w:cs="Times New Roman"/>
          <w:b/>
          <w:bCs/>
          <w:sz w:val="27"/>
          <w:szCs w:val="27"/>
          <w:lang w:eastAsia="en-US"/>
        </w:rPr>
        <w:t>&gt;10%</w:t>
      </w:r>
    </w:p>
    <w:p w14:paraId="779E7A4A"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Ataxia (1-13%)</w:t>
      </w:r>
    </w:p>
    <w:p w14:paraId="15C65D66"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Dizziness (16-20%)</w:t>
      </w:r>
    </w:p>
    <w:p w14:paraId="75F9D6E9"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Drowsiness (5-21%)</w:t>
      </w:r>
    </w:p>
    <w:p w14:paraId="0CB6A614"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Fatigue (11-15%)</w:t>
      </w:r>
    </w:p>
    <w:p w14:paraId="560E0370"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Somnolence (16-20%)</w:t>
      </w:r>
    </w:p>
    <w:p w14:paraId="72A6C609" w14:textId="77777777" w:rsidR="004129E3" w:rsidRPr="004129E3" w:rsidRDefault="004129E3" w:rsidP="004129E3">
      <w:pPr>
        <w:pStyle w:val="ListParagraph"/>
        <w:numPr>
          <w:ilvl w:val="0"/>
          <w:numId w:val="1"/>
        </w:numPr>
        <w:spacing w:before="100" w:beforeAutospacing="1" w:after="100" w:afterAutospacing="1"/>
        <w:outlineLvl w:val="2"/>
        <w:rPr>
          <w:rFonts w:ascii="Times" w:eastAsia="Times New Roman" w:hAnsi="Times" w:cs="Times New Roman"/>
          <w:b/>
          <w:bCs/>
          <w:sz w:val="27"/>
          <w:szCs w:val="27"/>
          <w:lang w:eastAsia="en-US"/>
        </w:rPr>
      </w:pPr>
      <w:r w:rsidRPr="004129E3">
        <w:rPr>
          <w:rFonts w:ascii="Times" w:eastAsia="Times New Roman" w:hAnsi="Times" w:cs="Times New Roman"/>
          <w:b/>
          <w:bCs/>
          <w:sz w:val="27"/>
          <w:szCs w:val="27"/>
          <w:lang w:eastAsia="en-US"/>
        </w:rPr>
        <w:t>1-10%</w:t>
      </w:r>
    </w:p>
    <w:p w14:paraId="03084C1F"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Diplopia (6-10%)</w:t>
      </w:r>
    </w:p>
    <w:p w14:paraId="705CF6AF"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proofErr w:type="spellStart"/>
      <w:r w:rsidRPr="004129E3">
        <w:rPr>
          <w:rFonts w:ascii="Times" w:hAnsi="Times" w:cs="Times New Roman"/>
          <w:sz w:val="20"/>
          <w:szCs w:val="20"/>
          <w:lang w:eastAsia="en-US"/>
        </w:rPr>
        <w:t>Nystagmus</w:t>
      </w:r>
      <w:proofErr w:type="spellEnd"/>
      <w:r w:rsidRPr="004129E3">
        <w:rPr>
          <w:rFonts w:ascii="Times" w:hAnsi="Times" w:cs="Times New Roman"/>
          <w:sz w:val="20"/>
          <w:szCs w:val="20"/>
          <w:lang w:eastAsia="en-US"/>
        </w:rPr>
        <w:t xml:space="preserve"> (6-10%)</w:t>
      </w:r>
    </w:p>
    <w:p w14:paraId="397084F9"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Tremor (6-10%)</w:t>
      </w:r>
    </w:p>
    <w:p w14:paraId="2CAA1681"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Amblyopia (1-5%)</w:t>
      </w:r>
    </w:p>
    <w:p w14:paraId="142E28BC"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Back pain (1-5%)</w:t>
      </w:r>
    </w:p>
    <w:p w14:paraId="49DD6DEB"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Constipation (1-5%)</w:t>
      </w:r>
    </w:p>
    <w:p w14:paraId="4ECE9DFF"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Depression (1-5%)</w:t>
      </w:r>
    </w:p>
    <w:p w14:paraId="6790205E"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Dry mouth (1-5%)</w:t>
      </w:r>
    </w:p>
    <w:p w14:paraId="1F36A319"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Dysarthria (1-5%)</w:t>
      </w:r>
    </w:p>
    <w:p w14:paraId="0E1BAD9B"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Dyspepsia (1-5%)</w:t>
      </w:r>
    </w:p>
    <w:p w14:paraId="56DFDDA3"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Hostility (5-8% children)</w:t>
      </w:r>
    </w:p>
    <w:p w14:paraId="6546973F"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Hyperkinesia (3-5%)</w:t>
      </w:r>
    </w:p>
    <w:p w14:paraId="60252E57"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Increased appetite (1-5%)</w:t>
      </w:r>
    </w:p>
    <w:p w14:paraId="0D6FB360"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Leukopenia (1-5%)</w:t>
      </w:r>
    </w:p>
    <w:p w14:paraId="11410F58"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Myalgia (1-5%)</w:t>
      </w:r>
    </w:p>
    <w:p w14:paraId="07F64F8E"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Nervousness (1-5%)</w:t>
      </w:r>
    </w:p>
    <w:p w14:paraId="0F56B0FD"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Peripheral edema (1-5%)</w:t>
      </w:r>
    </w:p>
    <w:p w14:paraId="0BD08872"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Pharyngitis (1-5%)</w:t>
      </w:r>
    </w:p>
    <w:p w14:paraId="5A0F292C"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Pruritus (1-5%)</w:t>
      </w:r>
    </w:p>
    <w:p w14:paraId="12AB59D3"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Rhinitis (1-5%)</w:t>
      </w:r>
    </w:p>
    <w:p w14:paraId="52A1A926"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Vasodilation (1-5%)</w:t>
      </w:r>
    </w:p>
    <w:p w14:paraId="1EE30B2C"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Weight gain (1-5%)</w:t>
      </w:r>
    </w:p>
    <w:p w14:paraId="07304DD6"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Abnormal vision (&gt;1%)</w:t>
      </w:r>
    </w:p>
    <w:p w14:paraId="6326BCB8"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Anorexia (&gt;1%)</w:t>
      </w:r>
    </w:p>
    <w:p w14:paraId="6022BE9A"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Arthralgia (&gt;1%)</w:t>
      </w:r>
    </w:p>
    <w:p w14:paraId="2FF6F908"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Asthenia (&gt;1%)</w:t>
      </w:r>
    </w:p>
    <w:p w14:paraId="30BC6EA4"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HTN (&gt;1%)</w:t>
      </w:r>
    </w:p>
    <w:p w14:paraId="47ED4F09"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Malaise (&gt;1%)</w:t>
      </w:r>
    </w:p>
    <w:p w14:paraId="75FDF4B7"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proofErr w:type="spellStart"/>
      <w:r w:rsidRPr="004129E3">
        <w:rPr>
          <w:rFonts w:ascii="Times" w:hAnsi="Times" w:cs="Times New Roman"/>
          <w:sz w:val="20"/>
          <w:szCs w:val="20"/>
          <w:lang w:eastAsia="en-US"/>
        </w:rPr>
        <w:t>Paresthesia</w:t>
      </w:r>
      <w:proofErr w:type="spellEnd"/>
      <w:r w:rsidRPr="004129E3">
        <w:rPr>
          <w:rFonts w:ascii="Times" w:hAnsi="Times" w:cs="Times New Roman"/>
          <w:sz w:val="20"/>
          <w:szCs w:val="20"/>
          <w:lang w:eastAsia="en-US"/>
        </w:rPr>
        <w:t xml:space="preserve"> (&gt;1%)</w:t>
      </w:r>
    </w:p>
    <w:p w14:paraId="2AA218A0"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proofErr w:type="spellStart"/>
      <w:r w:rsidRPr="004129E3">
        <w:rPr>
          <w:rFonts w:ascii="Times" w:hAnsi="Times" w:cs="Times New Roman"/>
          <w:sz w:val="20"/>
          <w:szCs w:val="20"/>
          <w:lang w:eastAsia="en-US"/>
        </w:rPr>
        <w:t>Purpura</w:t>
      </w:r>
      <w:proofErr w:type="spellEnd"/>
      <w:r w:rsidRPr="004129E3">
        <w:rPr>
          <w:rFonts w:ascii="Times" w:hAnsi="Times" w:cs="Times New Roman"/>
          <w:sz w:val="20"/>
          <w:szCs w:val="20"/>
          <w:lang w:eastAsia="en-US"/>
        </w:rPr>
        <w:t xml:space="preserve"> (&gt;1%)</w:t>
      </w:r>
    </w:p>
    <w:p w14:paraId="27978D9D"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Vertigo (&gt;1%)</w:t>
      </w:r>
    </w:p>
    <w:p w14:paraId="7C20918E" w14:textId="77777777" w:rsidR="004129E3" w:rsidRPr="004129E3" w:rsidRDefault="004129E3" w:rsidP="004129E3">
      <w:pPr>
        <w:pStyle w:val="ListParagraph"/>
        <w:numPr>
          <w:ilvl w:val="0"/>
          <w:numId w:val="1"/>
        </w:numPr>
        <w:spacing w:before="100" w:beforeAutospacing="1" w:after="100" w:afterAutospacing="1"/>
        <w:outlineLvl w:val="2"/>
        <w:rPr>
          <w:rFonts w:ascii="Times" w:eastAsia="Times New Roman" w:hAnsi="Times" w:cs="Times New Roman"/>
          <w:b/>
          <w:bCs/>
          <w:sz w:val="27"/>
          <w:szCs w:val="27"/>
          <w:lang w:eastAsia="en-US"/>
        </w:rPr>
      </w:pPr>
      <w:proofErr w:type="spellStart"/>
      <w:r w:rsidRPr="004129E3">
        <w:rPr>
          <w:rFonts w:ascii="Times" w:eastAsia="Times New Roman" w:hAnsi="Times" w:cs="Times New Roman"/>
          <w:b/>
          <w:bCs/>
          <w:sz w:val="27"/>
          <w:szCs w:val="27"/>
          <w:lang w:eastAsia="en-US"/>
        </w:rPr>
        <w:t>Postmarketing</w:t>
      </w:r>
      <w:proofErr w:type="spellEnd"/>
      <w:r w:rsidRPr="004129E3">
        <w:rPr>
          <w:rFonts w:ascii="Times" w:eastAsia="Times New Roman" w:hAnsi="Times" w:cs="Times New Roman"/>
          <w:b/>
          <w:bCs/>
          <w:sz w:val="27"/>
          <w:szCs w:val="27"/>
          <w:lang w:eastAsia="en-US"/>
        </w:rPr>
        <w:t xml:space="preserve"> Reports</w:t>
      </w:r>
    </w:p>
    <w:p w14:paraId="087CE668"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Angioedema</w:t>
      </w:r>
    </w:p>
    <w:p w14:paraId="3A9FD3F6"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Blood glucose fluctuation</w:t>
      </w:r>
    </w:p>
    <w:p w14:paraId="20935657"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Breast enlargement</w:t>
      </w:r>
    </w:p>
    <w:p w14:paraId="4F641681"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 xml:space="preserve">Erythema </w:t>
      </w:r>
      <w:proofErr w:type="spellStart"/>
      <w:r w:rsidRPr="004129E3">
        <w:rPr>
          <w:rFonts w:ascii="Times" w:hAnsi="Times" w:cs="Times New Roman"/>
          <w:sz w:val="20"/>
          <w:szCs w:val="20"/>
          <w:lang w:eastAsia="en-US"/>
        </w:rPr>
        <w:t>multiforme</w:t>
      </w:r>
      <w:proofErr w:type="spellEnd"/>
    </w:p>
    <w:p w14:paraId="4DC036F8"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Elevated liver function tests</w:t>
      </w:r>
    </w:p>
    <w:p w14:paraId="62099558"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Fever</w:t>
      </w:r>
    </w:p>
    <w:p w14:paraId="24B3353A"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proofErr w:type="spellStart"/>
      <w:r w:rsidRPr="004129E3">
        <w:rPr>
          <w:rFonts w:ascii="Times" w:hAnsi="Times" w:cs="Times New Roman"/>
          <w:sz w:val="20"/>
          <w:szCs w:val="20"/>
          <w:lang w:eastAsia="en-US"/>
        </w:rPr>
        <w:t>Hyponatremia</w:t>
      </w:r>
      <w:proofErr w:type="spellEnd"/>
    </w:p>
    <w:p w14:paraId="0A0DA6E6"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Jaundice</w:t>
      </w:r>
    </w:p>
    <w:p w14:paraId="48C87B34" w14:textId="77777777" w:rsidR="004129E3" w:rsidRP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Stevens-Johnson syndrome</w:t>
      </w:r>
    </w:p>
    <w:p w14:paraId="4E2B55D4" w14:textId="77777777" w:rsidR="004129E3" w:rsidRDefault="004129E3" w:rsidP="004129E3">
      <w:pPr>
        <w:pStyle w:val="ListParagraph"/>
        <w:numPr>
          <w:ilvl w:val="0"/>
          <w:numId w:val="1"/>
        </w:numPr>
        <w:spacing w:before="100" w:beforeAutospacing="1" w:after="100" w:afterAutospacing="1"/>
        <w:rPr>
          <w:rFonts w:ascii="Times" w:hAnsi="Times" w:cs="Times New Roman"/>
          <w:sz w:val="20"/>
          <w:szCs w:val="20"/>
          <w:lang w:eastAsia="en-US"/>
        </w:rPr>
      </w:pPr>
      <w:r w:rsidRPr="004129E3">
        <w:rPr>
          <w:rFonts w:ascii="Times" w:hAnsi="Times" w:cs="Times New Roman"/>
          <w:sz w:val="20"/>
          <w:szCs w:val="20"/>
          <w:lang w:eastAsia="en-US"/>
        </w:rPr>
        <w:t xml:space="preserve">Adverse events following abrupt discontinuation have also been reported; the most frequently reported events have been anxiety, insomnia, nausea, pain, and sweating </w:t>
      </w:r>
    </w:p>
    <w:p w14:paraId="5B87A3C8" w14:textId="77777777" w:rsidR="002F47C8" w:rsidRDefault="002F47C8" w:rsidP="002F47C8">
      <w:pPr>
        <w:pStyle w:val="Heading2"/>
        <w:rPr>
          <w:rFonts w:eastAsia="Times New Roman" w:cs="Times New Roman"/>
        </w:rPr>
      </w:pPr>
      <w:r>
        <w:rPr>
          <w:rFonts w:eastAsia="Times New Roman" w:cs="Times New Roman"/>
        </w:rPr>
        <w:t>Warnings</w:t>
      </w:r>
    </w:p>
    <w:p w14:paraId="7DA30B24" w14:textId="77777777" w:rsidR="002F47C8" w:rsidRDefault="002F47C8" w:rsidP="002F47C8">
      <w:pPr>
        <w:pStyle w:val="Heading3"/>
        <w:rPr>
          <w:rFonts w:eastAsia="Times New Roman" w:cs="Times New Roman"/>
        </w:rPr>
      </w:pPr>
      <w:r>
        <w:rPr>
          <w:rFonts w:eastAsia="Times New Roman" w:cs="Times New Roman"/>
        </w:rPr>
        <w:t>Contraindications</w:t>
      </w:r>
    </w:p>
    <w:p w14:paraId="72EF5BF6" w14:textId="77777777" w:rsidR="002F47C8" w:rsidRDefault="002F47C8" w:rsidP="002F47C8">
      <w:pPr>
        <w:pStyle w:val="NormalWeb"/>
      </w:pPr>
      <w:r>
        <w:t>Hypersensitivity</w:t>
      </w:r>
    </w:p>
    <w:p w14:paraId="63A7DE2E" w14:textId="77777777" w:rsidR="002F47C8" w:rsidRDefault="002F47C8" w:rsidP="002F47C8">
      <w:pPr>
        <w:pStyle w:val="Heading3"/>
        <w:rPr>
          <w:rFonts w:eastAsia="Times New Roman" w:cs="Times New Roman"/>
        </w:rPr>
      </w:pPr>
      <w:r>
        <w:rPr>
          <w:rFonts w:eastAsia="Times New Roman" w:cs="Times New Roman"/>
        </w:rPr>
        <w:t>Cautions</w:t>
      </w:r>
    </w:p>
    <w:p w14:paraId="3A03879E" w14:textId="77777777" w:rsidR="002F47C8" w:rsidRDefault="002F47C8" w:rsidP="002F47C8">
      <w:pPr>
        <w:pStyle w:val="NormalWeb"/>
      </w:pPr>
      <w:r>
        <w:t xml:space="preserve">Increased blood CPK levels and </w:t>
      </w:r>
      <w:proofErr w:type="spellStart"/>
      <w:r>
        <w:t>rhabdomyolysis</w:t>
      </w:r>
      <w:proofErr w:type="spellEnd"/>
      <w:r>
        <w:t xml:space="preserve"> reported</w:t>
      </w:r>
    </w:p>
    <w:p w14:paraId="34768A5F" w14:textId="77777777" w:rsidR="002F47C8" w:rsidRDefault="002F47C8" w:rsidP="002F47C8">
      <w:pPr>
        <w:pStyle w:val="NormalWeb"/>
      </w:pPr>
      <w:r>
        <w:t>Antiepileptic drugs increase risk of suicidal thoughts or behavior in patients taking these drugs for any indication; monitor for emergence or worsening depression, suicidal thoughts or behavior, and/or any unusual changes in mood or behavior</w:t>
      </w:r>
    </w:p>
    <w:p w14:paraId="42A72D69" w14:textId="77777777" w:rsidR="002F47C8" w:rsidRDefault="002F47C8" w:rsidP="002F47C8">
      <w:pPr>
        <w:pStyle w:val="NormalWeb"/>
      </w:pPr>
      <w:r>
        <w:t>Anaphylaxis and angioedema reported after first dose or at any time during treatment</w:t>
      </w:r>
      <w:proofErr w:type="gramStart"/>
      <w:r>
        <w:t>;</w:t>
      </w:r>
      <w:proofErr w:type="gramEnd"/>
      <w:r>
        <w:t xml:space="preserve"> instruct patients to discontinue therapy and seek medical care should they experience signs or symptoms of anaphylaxis or angioedema</w:t>
      </w:r>
    </w:p>
    <w:p w14:paraId="2285F940" w14:textId="77777777" w:rsidR="002F47C8" w:rsidRDefault="002F47C8" w:rsidP="002F47C8">
      <w:pPr>
        <w:pStyle w:val="NormalWeb"/>
      </w:pPr>
      <w:r>
        <w:t xml:space="preserve">May cause CNS depression, which may impair ability to operate heavy machinery; </w:t>
      </w:r>
      <w:proofErr w:type="gramStart"/>
      <w:r>
        <w:t>advise</w:t>
      </w:r>
      <w:proofErr w:type="gramEnd"/>
      <w:r>
        <w:t xml:space="preserve"> patients not to drive until they have gained enough experience to assess whether therapy will impair ability to drive </w:t>
      </w:r>
    </w:p>
    <w:p w14:paraId="08B7D981" w14:textId="77777777" w:rsidR="002F47C8" w:rsidRDefault="002F47C8" w:rsidP="002F47C8">
      <w:pPr>
        <w:pStyle w:val="NormalWeb"/>
      </w:pPr>
      <w:r>
        <w:t>Extended release formulation (</w:t>
      </w:r>
      <w:proofErr w:type="spellStart"/>
      <w:r>
        <w:t>Garlise</w:t>
      </w:r>
      <w:proofErr w:type="spellEnd"/>
      <w:r>
        <w:t>) not studied in the treatment of seizures</w:t>
      </w:r>
    </w:p>
    <w:p w14:paraId="101FE7C2" w14:textId="77777777" w:rsidR="002F47C8" w:rsidRDefault="002F47C8" w:rsidP="002F47C8">
      <w:pPr>
        <w:pStyle w:val="NormalWeb"/>
      </w:pPr>
      <w:r>
        <w:t>Extended release formulation (</w:t>
      </w:r>
      <w:proofErr w:type="spellStart"/>
      <w:r>
        <w:t>Garlise</w:t>
      </w:r>
      <w:proofErr w:type="spellEnd"/>
      <w:r>
        <w:t>), not interchangeable with immediate release</w:t>
      </w:r>
    </w:p>
    <w:p w14:paraId="330AB24D" w14:textId="77777777" w:rsidR="002F47C8" w:rsidRDefault="002F47C8" w:rsidP="002F47C8">
      <w:pPr>
        <w:pStyle w:val="NormalWeb"/>
      </w:pPr>
      <w:r>
        <w:t>May potentiate effects of other sedatives or ethanol when administered concomitantly</w:t>
      </w:r>
    </w:p>
    <w:p w14:paraId="3C670FFC" w14:textId="77777777" w:rsidR="002F47C8" w:rsidRDefault="002F47C8" w:rsidP="002F47C8">
      <w:pPr>
        <w:pStyle w:val="NormalWeb"/>
      </w:pPr>
      <w:r>
        <w:t>Do not discontinue abruptly (may increase seizure frequency)</w:t>
      </w:r>
      <w:proofErr w:type="gramStart"/>
      <w:r>
        <w:t>;</w:t>
      </w:r>
      <w:proofErr w:type="gramEnd"/>
      <w:r>
        <w:t xml:space="preserve"> gradually taper over a minimum of 1 week</w:t>
      </w:r>
    </w:p>
    <w:p w14:paraId="58DD127C" w14:textId="77777777" w:rsidR="002F47C8" w:rsidRDefault="002F47C8" w:rsidP="002F47C8">
      <w:pPr>
        <w:pStyle w:val="NormalWeb"/>
      </w:pPr>
      <w:r>
        <w:t xml:space="preserve">Ages 3-12 years: Risk of neuropsychiatric adverse events, including emotional </w:t>
      </w:r>
      <w:proofErr w:type="spellStart"/>
      <w:r>
        <w:t>lability</w:t>
      </w:r>
      <w:proofErr w:type="spellEnd"/>
      <w:r>
        <w:t>, hostility, thought disorders, and hyperkinesia</w:t>
      </w:r>
    </w:p>
    <w:p w14:paraId="341AF404" w14:textId="77777777" w:rsidR="002F47C8" w:rsidRDefault="002F47C8" w:rsidP="002F47C8">
      <w:pPr>
        <w:pStyle w:val="NormalWeb"/>
      </w:pPr>
      <w:r>
        <w:t xml:space="preserve">Drug reaction with eosinophilia and systemic symptoms (DRESS), also known as </w:t>
      </w:r>
      <w:proofErr w:type="spellStart"/>
      <w:r>
        <w:t>multiorgan</w:t>
      </w:r>
      <w:proofErr w:type="spellEnd"/>
      <w:r>
        <w:t xml:space="preserve"> hypersensitivity, reported; some of these events have been fatal or life-threatening; typically presents with fever, rash, and/or lymphadenopathy in association with other organ system involvement (</w:t>
      </w:r>
      <w:proofErr w:type="spellStart"/>
      <w:r>
        <w:t>eg</w:t>
      </w:r>
      <w:proofErr w:type="spellEnd"/>
      <w:r>
        <w:t>, hepatitis, nephritis, hematologic abnormalities, myocarditis, myositis) and may resemble an acute viral infection</w:t>
      </w:r>
    </w:p>
    <w:p w14:paraId="05B76C66" w14:textId="77777777" w:rsidR="002F47C8" w:rsidRPr="002F47C8" w:rsidRDefault="002F47C8" w:rsidP="002F47C8">
      <w:pPr>
        <w:spacing w:before="100" w:beforeAutospacing="1" w:after="100" w:afterAutospacing="1"/>
        <w:rPr>
          <w:rFonts w:ascii="Times" w:hAnsi="Times" w:cs="Times New Roman"/>
          <w:sz w:val="20"/>
          <w:szCs w:val="20"/>
          <w:lang w:eastAsia="en-US"/>
        </w:rPr>
      </w:pPr>
    </w:p>
    <w:p w14:paraId="6F887AFB" w14:textId="77777777" w:rsidR="009A501C" w:rsidRDefault="009A501C" w:rsidP="009A501C"/>
    <w:p w14:paraId="61E2EEA3" w14:textId="77777777" w:rsidR="009A501C" w:rsidRDefault="009A501C"/>
    <w:sectPr w:rsidR="009A501C"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802"/>
    <w:multiLevelType w:val="multilevel"/>
    <w:tmpl w:val="22B0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1566C"/>
    <w:multiLevelType w:val="multilevel"/>
    <w:tmpl w:val="6D3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6477D"/>
    <w:multiLevelType w:val="multilevel"/>
    <w:tmpl w:val="A18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01A1E"/>
    <w:multiLevelType w:val="multilevel"/>
    <w:tmpl w:val="5F7E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D3F70"/>
    <w:multiLevelType w:val="multilevel"/>
    <w:tmpl w:val="EAE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0034E"/>
    <w:multiLevelType w:val="multilevel"/>
    <w:tmpl w:val="D208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F7A44"/>
    <w:multiLevelType w:val="multilevel"/>
    <w:tmpl w:val="A9C4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11AFC"/>
    <w:multiLevelType w:val="multilevel"/>
    <w:tmpl w:val="B49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82CD1"/>
    <w:multiLevelType w:val="multilevel"/>
    <w:tmpl w:val="FBD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16DB0"/>
    <w:multiLevelType w:val="multilevel"/>
    <w:tmpl w:val="87B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96710B"/>
    <w:multiLevelType w:val="multilevel"/>
    <w:tmpl w:val="0188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881C9E"/>
    <w:multiLevelType w:val="multilevel"/>
    <w:tmpl w:val="3DA8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11"/>
  </w:num>
  <w:num w:numId="6">
    <w:abstractNumId w:val="8"/>
  </w:num>
  <w:num w:numId="7">
    <w:abstractNumId w:val="0"/>
  </w:num>
  <w:num w:numId="8">
    <w:abstractNumId w:val="1"/>
  </w:num>
  <w:num w:numId="9">
    <w:abstractNumId w:val="9"/>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AD"/>
    <w:rsid w:val="002F47C8"/>
    <w:rsid w:val="0037175E"/>
    <w:rsid w:val="004129E3"/>
    <w:rsid w:val="00997523"/>
    <w:rsid w:val="009A351C"/>
    <w:rsid w:val="009A501C"/>
    <w:rsid w:val="00BB2BAD"/>
    <w:rsid w:val="00C65633"/>
    <w:rsid w:val="00DA7053"/>
    <w:rsid w:val="00DD2B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E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4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29E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BAD"/>
    <w:rPr>
      <w:color w:val="0000FF" w:themeColor="hyperlink"/>
      <w:u w:val="single"/>
    </w:rPr>
  </w:style>
  <w:style w:type="character" w:customStyle="1" w:styleId="Heading3Char">
    <w:name w:val="Heading 3 Char"/>
    <w:basedOn w:val="DefaultParagraphFont"/>
    <w:link w:val="Heading3"/>
    <w:uiPriority w:val="9"/>
    <w:rsid w:val="004129E3"/>
    <w:rPr>
      <w:rFonts w:ascii="Times" w:hAnsi="Times"/>
      <w:b/>
      <w:bCs/>
      <w:sz w:val="27"/>
      <w:szCs w:val="27"/>
      <w:lang w:eastAsia="en-US"/>
    </w:rPr>
  </w:style>
  <w:style w:type="paragraph" w:styleId="NormalWeb">
    <w:name w:val="Normal (Web)"/>
    <w:basedOn w:val="Normal"/>
    <w:uiPriority w:val="99"/>
    <w:semiHidden/>
    <w:unhideWhenUsed/>
    <w:rsid w:val="004129E3"/>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4129E3"/>
    <w:pPr>
      <w:ind w:left="720"/>
      <w:contextualSpacing/>
    </w:pPr>
  </w:style>
  <w:style w:type="character" w:customStyle="1" w:styleId="Heading2Char">
    <w:name w:val="Heading 2 Char"/>
    <w:basedOn w:val="DefaultParagraphFont"/>
    <w:link w:val="Heading2"/>
    <w:uiPriority w:val="9"/>
    <w:semiHidden/>
    <w:rsid w:val="002F47C8"/>
    <w:rPr>
      <w:rFonts w:asciiTheme="majorHAnsi" w:eastAsiaTheme="majorEastAsia" w:hAnsiTheme="majorHAnsi" w:cstheme="majorBidi"/>
      <w:b/>
      <w:bCs/>
      <w:color w:val="4F81BD" w:themeColor="accent1"/>
      <w:sz w:val="26"/>
      <w:szCs w:val="26"/>
    </w:rPr>
  </w:style>
  <w:style w:type="paragraph" w:customStyle="1" w:styleId="sect2title">
    <w:name w:val="sect2title"/>
    <w:basedOn w:val="Normal"/>
    <w:rsid w:val="00DD2B85"/>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4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29E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BAD"/>
    <w:rPr>
      <w:color w:val="0000FF" w:themeColor="hyperlink"/>
      <w:u w:val="single"/>
    </w:rPr>
  </w:style>
  <w:style w:type="character" w:customStyle="1" w:styleId="Heading3Char">
    <w:name w:val="Heading 3 Char"/>
    <w:basedOn w:val="DefaultParagraphFont"/>
    <w:link w:val="Heading3"/>
    <w:uiPriority w:val="9"/>
    <w:rsid w:val="004129E3"/>
    <w:rPr>
      <w:rFonts w:ascii="Times" w:hAnsi="Times"/>
      <w:b/>
      <w:bCs/>
      <w:sz w:val="27"/>
      <w:szCs w:val="27"/>
      <w:lang w:eastAsia="en-US"/>
    </w:rPr>
  </w:style>
  <w:style w:type="paragraph" w:styleId="NormalWeb">
    <w:name w:val="Normal (Web)"/>
    <w:basedOn w:val="Normal"/>
    <w:uiPriority w:val="99"/>
    <w:semiHidden/>
    <w:unhideWhenUsed/>
    <w:rsid w:val="004129E3"/>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4129E3"/>
    <w:pPr>
      <w:ind w:left="720"/>
      <w:contextualSpacing/>
    </w:pPr>
  </w:style>
  <w:style w:type="character" w:customStyle="1" w:styleId="Heading2Char">
    <w:name w:val="Heading 2 Char"/>
    <w:basedOn w:val="DefaultParagraphFont"/>
    <w:link w:val="Heading2"/>
    <w:uiPriority w:val="9"/>
    <w:semiHidden/>
    <w:rsid w:val="002F47C8"/>
    <w:rPr>
      <w:rFonts w:asciiTheme="majorHAnsi" w:eastAsiaTheme="majorEastAsia" w:hAnsiTheme="majorHAnsi" w:cstheme="majorBidi"/>
      <w:b/>
      <w:bCs/>
      <w:color w:val="4F81BD" w:themeColor="accent1"/>
      <w:sz w:val="26"/>
      <w:szCs w:val="26"/>
    </w:rPr>
  </w:style>
  <w:style w:type="paragraph" w:customStyle="1" w:styleId="sect2title">
    <w:name w:val="sect2title"/>
    <w:basedOn w:val="Normal"/>
    <w:rsid w:val="00DD2B85"/>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361">
      <w:bodyDiv w:val="1"/>
      <w:marLeft w:val="0"/>
      <w:marRight w:val="0"/>
      <w:marTop w:val="0"/>
      <w:marBottom w:val="0"/>
      <w:divBdr>
        <w:top w:val="none" w:sz="0" w:space="0" w:color="auto"/>
        <w:left w:val="none" w:sz="0" w:space="0" w:color="auto"/>
        <w:bottom w:val="none" w:sz="0" w:space="0" w:color="auto"/>
        <w:right w:val="none" w:sz="0" w:space="0" w:color="auto"/>
      </w:divBdr>
      <w:divsChild>
        <w:div w:id="234166244">
          <w:marLeft w:val="0"/>
          <w:marRight w:val="0"/>
          <w:marTop w:val="0"/>
          <w:marBottom w:val="0"/>
          <w:divBdr>
            <w:top w:val="none" w:sz="0" w:space="0" w:color="auto"/>
            <w:left w:val="none" w:sz="0" w:space="0" w:color="auto"/>
            <w:bottom w:val="none" w:sz="0" w:space="0" w:color="auto"/>
            <w:right w:val="none" w:sz="0" w:space="0" w:color="auto"/>
          </w:divBdr>
          <w:divsChild>
            <w:div w:id="813254997">
              <w:marLeft w:val="0"/>
              <w:marRight w:val="0"/>
              <w:marTop w:val="0"/>
              <w:marBottom w:val="0"/>
              <w:divBdr>
                <w:top w:val="none" w:sz="0" w:space="0" w:color="auto"/>
                <w:left w:val="none" w:sz="0" w:space="0" w:color="auto"/>
                <w:bottom w:val="none" w:sz="0" w:space="0" w:color="auto"/>
                <w:right w:val="none" w:sz="0" w:space="0" w:color="auto"/>
              </w:divBdr>
            </w:div>
            <w:div w:id="932785538">
              <w:marLeft w:val="0"/>
              <w:marRight w:val="0"/>
              <w:marTop w:val="0"/>
              <w:marBottom w:val="0"/>
              <w:divBdr>
                <w:top w:val="none" w:sz="0" w:space="0" w:color="auto"/>
                <w:left w:val="none" w:sz="0" w:space="0" w:color="auto"/>
                <w:bottom w:val="none" w:sz="0" w:space="0" w:color="auto"/>
                <w:right w:val="none" w:sz="0" w:space="0" w:color="auto"/>
              </w:divBdr>
              <w:divsChild>
                <w:div w:id="1966883863">
                  <w:marLeft w:val="0"/>
                  <w:marRight w:val="0"/>
                  <w:marTop w:val="0"/>
                  <w:marBottom w:val="0"/>
                  <w:divBdr>
                    <w:top w:val="none" w:sz="0" w:space="0" w:color="auto"/>
                    <w:left w:val="none" w:sz="0" w:space="0" w:color="auto"/>
                    <w:bottom w:val="none" w:sz="0" w:space="0" w:color="auto"/>
                    <w:right w:val="none" w:sz="0" w:space="0" w:color="auto"/>
                  </w:divBdr>
                </w:div>
                <w:div w:id="1257402390">
                  <w:marLeft w:val="0"/>
                  <w:marRight w:val="0"/>
                  <w:marTop w:val="0"/>
                  <w:marBottom w:val="0"/>
                  <w:divBdr>
                    <w:top w:val="none" w:sz="0" w:space="0" w:color="auto"/>
                    <w:left w:val="none" w:sz="0" w:space="0" w:color="auto"/>
                    <w:bottom w:val="none" w:sz="0" w:space="0" w:color="auto"/>
                    <w:right w:val="none" w:sz="0" w:space="0" w:color="auto"/>
                  </w:divBdr>
                </w:div>
              </w:divsChild>
            </w:div>
            <w:div w:id="472673363">
              <w:marLeft w:val="0"/>
              <w:marRight w:val="0"/>
              <w:marTop w:val="0"/>
              <w:marBottom w:val="0"/>
              <w:divBdr>
                <w:top w:val="none" w:sz="0" w:space="0" w:color="auto"/>
                <w:left w:val="none" w:sz="0" w:space="0" w:color="auto"/>
                <w:bottom w:val="none" w:sz="0" w:space="0" w:color="auto"/>
                <w:right w:val="none" w:sz="0" w:space="0" w:color="auto"/>
              </w:divBdr>
              <w:divsChild>
                <w:div w:id="1742214753">
                  <w:marLeft w:val="0"/>
                  <w:marRight w:val="0"/>
                  <w:marTop w:val="0"/>
                  <w:marBottom w:val="0"/>
                  <w:divBdr>
                    <w:top w:val="none" w:sz="0" w:space="0" w:color="auto"/>
                    <w:left w:val="none" w:sz="0" w:space="0" w:color="auto"/>
                    <w:bottom w:val="none" w:sz="0" w:space="0" w:color="auto"/>
                    <w:right w:val="none" w:sz="0" w:space="0" w:color="auto"/>
                  </w:divBdr>
                </w:div>
              </w:divsChild>
            </w:div>
            <w:div w:id="1708485909">
              <w:marLeft w:val="0"/>
              <w:marRight w:val="0"/>
              <w:marTop w:val="0"/>
              <w:marBottom w:val="0"/>
              <w:divBdr>
                <w:top w:val="none" w:sz="0" w:space="0" w:color="auto"/>
                <w:left w:val="none" w:sz="0" w:space="0" w:color="auto"/>
                <w:bottom w:val="none" w:sz="0" w:space="0" w:color="auto"/>
                <w:right w:val="none" w:sz="0" w:space="0" w:color="auto"/>
              </w:divBdr>
            </w:div>
            <w:div w:id="52774670">
              <w:marLeft w:val="0"/>
              <w:marRight w:val="0"/>
              <w:marTop w:val="0"/>
              <w:marBottom w:val="0"/>
              <w:divBdr>
                <w:top w:val="none" w:sz="0" w:space="0" w:color="auto"/>
                <w:left w:val="none" w:sz="0" w:space="0" w:color="auto"/>
                <w:bottom w:val="none" w:sz="0" w:space="0" w:color="auto"/>
                <w:right w:val="none" w:sz="0" w:space="0" w:color="auto"/>
              </w:divBdr>
              <w:divsChild>
                <w:div w:id="1902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0222">
      <w:bodyDiv w:val="1"/>
      <w:marLeft w:val="0"/>
      <w:marRight w:val="0"/>
      <w:marTop w:val="0"/>
      <w:marBottom w:val="0"/>
      <w:divBdr>
        <w:top w:val="none" w:sz="0" w:space="0" w:color="auto"/>
        <w:left w:val="none" w:sz="0" w:space="0" w:color="auto"/>
        <w:bottom w:val="none" w:sz="0" w:space="0" w:color="auto"/>
        <w:right w:val="none" w:sz="0" w:space="0" w:color="auto"/>
      </w:divBdr>
      <w:divsChild>
        <w:div w:id="2036691436">
          <w:marLeft w:val="0"/>
          <w:marRight w:val="0"/>
          <w:marTop w:val="0"/>
          <w:marBottom w:val="0"/>
          <w:divBdr>
            <w:top w:val="none" w:sz="0" w:space="0" w:color="auto"/>
            <w:left w:val="none" w:sz="0" w:space="0" w:color="auto"/>
            <w:bottom w:val="none" w:sz="0" w:space="0" w:color="auto"/>
            <w:right w:val="none" w:sz="0" w:space="0" w:color="auto"/>
          </w:divBdr>
          <w:divsChild>
            <w:div w:id="858160090">
              <w:marLeft w:val="0"/>
              <w:marRight w:val="0"/>
              <w:marTop w:val="0"/>
              <w:marBottom w:val="0"/>
              <w:divBdr>
                <w:top w:val="none" w:sz="0" w:space="0" w:color="auto"/>
                <w:left w:val="none" w:sz="0" w:space="0" w:color="auto"/>
                <w:bottom w:val="none" w:sz="0" w:space="0" w:color="auto"/>
                <w:right w:val="none" w:sz="0" w:space="0" w:color="auto"/>
              </w:divBdr>
            </w:div>
            <w:div w:id="213010637">
              <w:marLeft w:val="0"/>
              <w:marRight w:val="0"/>
              <w:marTop w:val="0"/>
              <w:marBottom w:val="0"/>
              <w:divBdr>
                <w:top w:val="none" w:sz="0" w:space="0" w:color="auto"/>
                <w:left w:val="none" w:sz="0" w:space="0" w:color="auto"/>
                <w:bottom w:val="none" w:sz="0" w:space="0" w:color="auto"/>
                <w:right w:val="none" w:sz="0" w:space="0" w:color="auto"/>
              </w:divBdr>
            </w:div>
            <w:div w:id="1940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6051">
      <w:bodyDiv w:val="1"/>
      <w:marLeft w:val="0"/>
      <w:marRight w:val="0"/>
      <w:marTop w:val="0"/>
      <w:marBottom w:val="0"/>
      <w:divBdr>
        <w:top w:val="none" w:sz="0" w:space="0" w:color="auto"/>
        <w:left w:val="none" w:sz="0" w:space="0" w:color="auto"/>
        <w:bottom w:val="none" w:sz="0" w:space="0" w:color="auto"/>
        <w:right w:val="none" w:sz="0" w:space="0" w:color="auto"/>
      </w:divBdr>
      <w:divsChild>
        <w:div w:id="1639991002">
          <w:marLeft w:val="0"/>
          <w:marRight w:val="0"/>
          <w:marTop w:val="0"/>
          <w:marBottom w:val="0"/>
          <w:divBdr>
            <w:top w:val="none" w:sz="0" w:space="0" w:color="auto"/>
            <w:left w:val="none" w:sz="0" w:space="0" w:color="auto"/>
            <w:bottom w:val="none" w:sz="0" w:space="0" w:color="auto"/>
            <w:right w:val="none" w:sz="0" w:space="0" w:color="auto"/>
          </w:divBdr>
          <w:divsChild>
            <w:div w:id="1692105065">
              <w:marLeft w:val="0"/>
              <w:marRight w:val="0"/>
              <w:marTop w:val="0"/>
              <w:marBottom w:val="0"/>
              <w:divBdr>
                <w:top w:val="none" w:sz="0" w:space="0" w:color="auto"/>
                <w:left w:val="none" w:sz="0" w:space="0" w:color="auto"/>
                <w:bottom w:val="none" w:sz="0" w:space="0" w:color="auto"/>
                <w:right w:val="none" w:sz="0" w:space="0" w:color="auto"/>
              </w:divBdr>
              <w:divsChild>
                <w:div w:id="730613400">
                  <w:marLeft w:val="0"/>
                  <w:marRight w:val="0"/>
                  <w:marTop w:val="0"/>
                  <w:marBottom w:val="0"/>
                  <w:divBdr>
                    <w:top w:val="none" w:sz="0" w:space="0" w:color="auto"/>
                    <w:left w:val="none" w:sz="0" w:space="0" w:color="auto"/>
                    <w:bottom w:val="none" w:sz="0" w:space="0" w:color="auto"/>
                    <w:right w:val="none" w:sz="0" w:space="0" w:color="auto"/>
                  </w:divBdr>
                  <w:divsChild>
                    <w:div w:id="1477257490">
                      <w:marLeft w:val="0"/>
                      <w:marRight w:val="0"/>
                      <w:marTop w:val="0"/>
                      <w:marBottom w:val="0"/>
                      <w:divBdr>
                        <w:top w:val="none" w:sz="0" w:space="0" w:color="auto"/>
                        <w:left w:val="none" w:sz="0" w:space="0" w:color="auto"/>
                        <w:bottom w:val="none" w:sz="0" w:space="0" w:color="auto"/>
                        <w:right w:val="none" w:sz="0" w:space="0" w:color="auto"/>
                      </w:divBdr>
                      <w:divsChild>
                        <w:div w:id="1792089980">
                          <w:marLeft w:val="0"/>
                          <w:marRight w:val="0"/>
                          <w:marTop w:val="0"/>
                          <w:marBottom w:val="0"/>
                          <w:divBdr>
                            <w:top w:val="none" w:sz="0" w:space="0" w:color="auto"/>
                            <w:left w:val="none" w:sz="0" w:space="0" w:color="auto"/>
                            <w:bottom w:val="none" w:sz="0" w:space="0" w:color="auto"/>
                            <w:right w:val="none" w:sz="0" w:space="0" w:color="auto"/>
                          </w:divBdr>
                          <w:divsChild>
                            <w:div w:id="1101024080">
                              <w:marLeft w:val="0"/>
                              <w:marRight w:val="0"/>
                              <w:marTop w:val="0"/>
                              <w:marBottom w:val="0"/>
                              <w:divBdr>
                                <w:top w:val="none" w:sz="0" w:space="0" w:color="auto"/>
                                <w:left w:val="none" w:sz="0" w:space="0" w:color="auto"/>
                                <w:bottom w:val="none" w:sz="0" w:space="0" w:color="auto"/>
                                <w:right w:val="none" w:sz="0" w:space="0" w:color="auto"/>
                              </w:divBdr>
                            </w:div>
                            <w:div w:id="13174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DR18@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1395</Words>
  <Characters>7954</Characters>
  <Application>Microsoft Macintosh Word</Application>
  <DocSecurity>0</DocSecurity>
  <Lines>66</Lines>
  <Paragraphs>18</Paragraphs>
  <ScaleCrop>false</ScaleCrop>
  <Company>Sheri Spirt, M.D.</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6</cp:revision>
  <cp:lastPrinted>2014-07-10T15:19:00Z</cp:lastPrinted>
  <dcterms:created xsi:type="dcterms:W3CDTF">2017-01-01T22:54:00Z</dcterms:created>
  <dcterms:modified xsi:type="dcterms:W3CDTF">2017-01-01T22:59:00Z</dcterms:modified>
</cp:coreProperties>
</file>