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0780B" w14:textId="77777777" w:rsidR="00A72D7D" w:rsidRDefault="00A72D7D" w:rsidP="00990AC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SHERI SPIRT</w:t>
      </w:r>
    </w:p>
    <w:p w14:paraId="774A29D1" w14:textId="77777777" w:rsidR="00A72D7D" w:rsidRDefault="00A72D7D" w:rsidP="00990AC0">
      <w:pPr>
        <w:jc w:val="center"/>
        <w:rPr>
          <w:rFonts w:ascii="Arial" w:hAnsi="Arial"/>
        </w:rPr>
      </w:pPr>
      <w:r>
        <w:rPr>
          <w:rFonts w:ascii="Arial" w:hAnsi="Arial"/>
        </w:rPr>
        <w:t>PSYCHIATRY</w:t>
      </w:r>
    </w:p>
    <w:p w14:paraId="73331F5F" w14:textId="77777777" w:rsidR="00A72D7D" w:rsidRDefault="00A72D7D" w:rsidP="00990AC0">
      <w:pPr>
        <w:jc w:val="center"/>
        <w:rPr>
          <w:rFonts w:ascii="Arial" w:hAnsi="Arial"/>
        </w:rPr>
      </w:pPr>
      <w:r>
        <w:rPr>
          <w:rFonts w:ascii="Arial" w:hAnsi="Arial"/>
        </w:rPr>
        <w:t>16 East 96</w:t>
      </w:r>
      <w:r w:rsidRPr="00FC7B9F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Street Unit 1A</w:t>
      </w:r>
    </w:p>
    <w:p w14:paraId="0B4787CF" w14:textId="77777777" w:rsidR="00A72D7D" w:rsidRDefault="00A72D7D" w:rsidP="00990AC0">
      <w:pPr>
        <w:jc w:val="center"/>
        <w:rPr>
          <w:rFonts w:ascii="Arial" w:hAnsi="Arial"/>
        </w:rPr>
      </w:pPr>
      <w:r>
        <w:rPr>
          <w:rFonts w:ascii="Arial" w:hAnsi="Arial"/>
        </w:rPr>
        <w:t>New York, N.Y. 10128</w:t>
      </w:r>
    </w:p>
    <w:p w14:paraId="5231D342" w14:textId="77777777" w:rsidR="00A72D7D" w:rsidRDefault="00A72D7D" w:rsidP="00990AC0">
      <w:pPr>
        <w:jc w:val="center"/>
        <w:rPr>
          <w:rFonts w:ascii="Arial" w:hAnsi="Arial"/>
        </w:rPr>
      </w:pPr>
      <w:r>
        <w:rPr>
          <w:rFonts w:ascii="Arial" w:hAnsi="Arial"/>
        </w:rPr>
        <w:t>(212) 595 6901</w:t>
      </w:r>
    </w:p>
    <w:p w14:paraId="5C827A9E" w14:textId="77777777" w:rsidR="00A72D7D" w:rsidRDefault="00A72D7D" w:rsidP="00990AC0">
      <w:pPr>
        <w:jc w:val="center"/>
        <w:rPr>
          <w:rFonts w:ascii="Arial" w:hAnsi="Arial"/>
        </w:rPr>
      </w:pPr>
      <w:hyperlink r:id="rId6" w:history="1">
        <w:r w:rsidRPr="00BE5643">
          <w:rPr>
            <w:rStyle w:val="Hyperlink"/>
            <w:rFonts w:ascii="Arial" w:hAnsi="Arial"/>
          </w:rPr>
          <w:t>SSDR18@aol.com</w:t>
        </w:r>
      </w:hyperlink>
    </w:p>
    <w:p w14:paraId="14A6F1F7" w14:textId="77777777" w:rsidR="00A72D7D" w:rsidRDefault="00A72D7D" w:rsidP="00D55ABD">
      <w:pPr>
        <w:jc w:val="center"/>
        <w:rPr>
          <w:rFonts w:ascii="Arial" w:hAnsi="Arial"/>
        </w:rPr>
      </w:pPr>
      <w:hyperlink r:id="rId7" w:history="1">
        <w:r w:rsidRPr="00830C59">
          <w:rPr>
            <w:rStyle w:val="Hyperlink"/>
            <w:rFonts w:ascii="Arial" w:hAnsi="Arial"/>
          </w:rPr>
          <w:t>www.</w:t>
        </w:r>
        <w:r>
          <w:rPr>
            <w:rStyle w:val="Hyperlink"/>
            <w:rFonts w:ascii="Arial" w:hAnsi="Arial"/>
          </w:rPr>
          <w:t>drsherispirt.com</w:t>
        </w:r>
      </w:hyperlink>
    </w:p>
    <w:p w14:paraId="639D6027" w14:textId="77777777" w:rsidR="007A4F35" w:rsidRPr="0093202B" w:rsidRDefault="007A4F35">
      <w:pPr>
        <w:rPr>
          <w:b/>
          <w:u w:val="single"/>
        </w:rPr>
      </w:pPr>
      <w:bookmarkStart w:id="0" w:name="_GoBack"/>
      <w:bookmarkEnd w:id="0"/>
      <w:r w:rsidRPr="0093202B">
        <w:rPr>
          <w:b/>
          <w:u w:val="single"/>
        </w:rPr>
        <w:t>BELSOMRA</w:t>
      </w:r>
    </w:p>
    <w:p w14:paraId="277EA6B0" w14:textId="77777777" w:rsidR="007A4F35" w:rsidRDefault="007A4F35">
      <w:r>
        <w:t>Warnings</w:t>
      </w:r>
    </w:p>
    <w:p w14:paraId="40CD84B4" w14:textId="77777777" w:rsidR="007A4F35" w:rsidRPr="007A4F35" w:rsidRDefault="007A4F35" w:rsidP="00FC7C2A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 w:rsidRPr="007A4F35">
        <w:rPr>
          <w:rFonts w:ascii="Times" w:hAnsi="Times"/>
          <w:b/>
          <w:sz w:val="27"/>
          <w:szCs w:val="20"/>
        </w:rPr>
        <w:t>Contraindications</w:t>
      </w:r>
    </w:p>
    <w:p w14:paraId="2768D445" w14:textId="77777777" w:rsidR="007A4F35" w:rsidRPr="007A4F35" w:rsidRDefault="007A4F35" w:rsidP="00FC7C2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7A4F35">
        <w:rPr>
          <w:rFonts w:ascii="Times" w:hAnsi="Times" w:cs="Times New Roman"/>
          <w:sz w:val="20"/>
          <w:szCs w:val="20"/>
        </w:rPr>
        <w:t>Narcolepsy</w:t>
      </w:r>
    </w:p>
    <w:p w14:paraId="7BA41D99" w14:textId="77777777" w:rsidR="007A4F35" w:rsidRPr="007A4F35" w:rsidRDefault="007A4F35" w:rsidP="00FC7C2A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 w:rsidRPr="007A4F35">
        <w:rPr>
          <w:rFonts w:ascii="Times" w:hAnsi="Times"/>
          <w:b/>
          <w:sz w:val="27"/>
          <w:szCs w:val="20"/>
        </w:rPr>
        <w:t>Cautions</w:t>
      </w:r>
    </w:p>
    <w:p w14:paraId="6210822C" w14:textId="77777777" w:rsidR="007A4F35" w:rsidRPr="007A4F35" w:rsidRDefault="007A4F35" w:rsidP="00FC7C2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7A4F35">
        <w:rPr>
          <w:rFonts w:ascii="Times" w:hAnsi="Times" w:cs="Times New Roman"/>
          <w:sz w:val="20"/>
          <w:szCs w:val="20"/>
        </w:rPr>
        <w:t>Can impair daytime wakefulness; CNS depressant effects can last for up to several days after discontinuation</w:t>
      </w:r>
    </w:p>
    <w:p w14:paraId="2E5EBB1C" w14:textId="77777777" w:rsidR="007A4F35" w:rsidRPr="007A4F35" w:rsidRDefault="007A4F35" w:rsidP="00FC7C2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7A4F35">
        <w:rPr>
          <w:rFonts w:ascii="Times" w:hAnsi="Times" w:cs="Times New Roman"/>
          <w:sz w:val="20"/>
          <w:szCs w:val="20"/>
        </w:rPr>
        <w:t>Can impair driving skills and may increase the risk of falling asleep while driving</w:t>
      </w:r>
    </w:p>
    <w:p w14:paraId="033CF4F2" w14:textId="77777777" w:rsidR="007A4F35" w:rsidRPr="007A4F35" w:rsidRDefault="007A4F35" w:rsidP="00FC7C2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7A4F35">
        <w:rPr>
          <w:rFonts w:ascii="Times" w:hAnsi="Times" w:cs="Times New Roman"/>
          <w:sz w:val="20"/>
          <w:szCs w:val="20"/>
        </w:rPr>
        <w:t xml:space="preserve">Patients should not use </w:t>
      </w:r>
      <w:proofErr w:type="spellStart"/>
      <w:r w:rsidRPr="007A4F35">
        <w:rPr>
          <w:rFonts w:ascii="Times" w:hAnsi="Times" w:cs="Times New Roman"/>
          <w:sz w:val="20"/>
          <w:szCs w:val="20"/>
        </w:rPr>
        <w:t>suvorexant</w:t>
      </w:r>
      <w:proofErr w:type="spellEnd"/>
      <w:r w:rsidRPr="007A4F35">
        <w:rPr>
          <w:rFonts w:ascii="Times" w:hAnsi="Times" w:cs="Times New Roman"/>
          <w:sz w:val="20"/>
          <w:szCs w:val="20"/>
        </w:rPr>
        <w:t xml:space="preserve"> if they drank alcohol that evening or before bed</w:t>
      </w:r>
      <w:proofErr w:type="gramStart"/>
      <w:r w:rsidRPr="007A4F35">
        <w:rPr>
          <w:rFonts w:ascii="Times" w:hAnsi="Times" w:cs="Times New Roman"/>
          <w:sz w:val="20"/>
          <w:szCs w:val="20"/>
        </w:rPr>
        <w:t>;</w:t>
      </w:r>
      <w:proofErr w:type="gramEnd"/>
      <w:r w:rsidRPr="007A4F35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A4F35">
        <w:rPr>
          <w:rFonts w:ascii="Times" w:hAnsi="Times" w:cs="Times New Roman"/>
          <w:sz w:val="20"/>
          <w:szCs w:val="20"/>
        </w:rPr>
        <w:t>coadministration</w:t>
      </w:r>
      <w:proofErr w:type="spellEnd"/>
      <w:r w:rsidRPr="007A4F35">
        <w:rPr>
          <w:rFonts w:ascii="Times" w:hAnsi="Times" w:cs="Times New Roman"/>
          <w:sz w:val="20"/>
          <w:szCs w:val="20"/>
        </w:rPr>
        <w:t xml:space="preserve"> with other CNS depressants (</w:t>
      </w:r>
      <w:proofErr w:type="spellStart"/>
      <w:r w:rsidRPr="007A4F35">
        <w:rPr>
          <w:rFonts w:ascii="Times" w:hAnsi="Times" w:cs="Times New Roman"/>
          <w:sz w:val="20"/>
          <w:szCs w:val="20"/>
        </w:rPr>
        <w:t>eg</w:t>
      </w:r>
      <w:proofErr w:type="spellEnd"/>
      <w:r w:rsidRPr="007A4F35">
        <w:rPr>
          <w:rFonts w:ascii="Times" w:hAnsi="Times" w:cs="Times New Roman"/>
          <w:sz w:val="20"/>
          <w:szCs w:val="20"/>
        </w:rPr>
        <w:t>, benzodiazepines, opioids, tricyclic antidepressants, alcohol) increases the risk of CNS depression</w:t>
      </w:r>
    </w:p>
    <w:p w14:paraId="548D9E3C" w14:textId="77777777" w:rsidR="007A4F35" w:rsidRPr="007A4F35" w:rsidRDefault="007A4F35" w:rsidP="00FC7C2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7A4F35">
        <w:rPr>
          <w:rFonts w:ascii="Times" w:hAnsi="Times" w:cs="Times New Roman"/>
          <w:sz w:val="20"/>
          <w:szCs w:val="20"/>
        </w:rPr>
        <w:t xml:space="preserve">Dosage adjustments of </w:t>
      </w:r>
      <w:proofErr w:type="spellStart"/>
      <w:r w:rsidRPr="007A4F35">
        <w:rPr>
          <w:rFonts w:ascii="Times" w:hAnsi="Times" w:cs="Times New Roman"/>
          <w:sz w:val="20"/>
          <w:szCs w:val="20"/>
        </w:rPr>
        <w:t>suvorexant</w:t>
      </w:r>
      <w:proofErr w:type="spellEnd"/>
      <w:r w:rsidRPr="007A4F35">
        <w:rPr>
          <w:rFonts w:ascii="Times" w:hAnsi="Times" w:cs="Times New Roman"/>
          <w:sz w:val="20"/>
          <w:szCs w:val="20"/>
        </w:rPr>
        <w:t xml:space="preserve"> and concomitant CNS depressants may be necessary when administered together because of potentially additive effects</w:t>
      </w:r>
    </w:p>
    <w:p w14:paraId="57FC5816" w14:textId="77777777" w:rsidR="007A4F35" w:rsidRPr="007A4F35" w:rsidRDefault="007A4F35" w:rsidP="00FC7C2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7A4F35">
        <w:rPr>
          <w:rFonts w:ascii="Times" w:hAnsi="Times" w:cs="Times New Roman"/>
          <w:sz w:val="20"/>
          <w:szCs w:val="20"/>
        </w:rPr>
        <w:t>Use with other drugs to treat insomnia is not recommended</w:t>
      </w:r>
    </w:p>
    <w:p w14:paraId="06CC313E" w14:textId="77777777" w:rsidR="007A4F35" w:rsidRPr="007A4F35" w:rsidRDefault="007A4F35" w:rsidP="00FC7C2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7A4F35">
        <w:rPr>
          <w:rFonts w:ascii="Times" w:hAnsi="Times" w:cs="Times New Roman"/>
          <w:sz w:val="20"/>
          <w:szCs w:val="20"/>
        </w:rPr>
        <w:t xml:space="preserve">Risk of next-day impairment, including impaired driving, is increased if taken with less than a full night of sleep remaining, if a higher than the recommended dose is taken, if </w:t>
      </w:r>
      <w:proofErr w:type="spellStart"/>
      <w:r w:rsidRPr="007A4F35">
        <w:rPr>
          <w:rFonts w:ascii="Times" w:hAnsi="Times" w:cs="Times New Roman"/>
          <w:sz w:val="20"/>
          <w:szCs w:val="20"/>
        </w:rPr>
        <w:t>coadministered</w:t>
      </w:r>
      <w:proofErr w:type="spellEnd"/>
      <w:r w:rsidRPr="007A4F35">
        <w:rPr>
          <w:rFonts w:ascii="Times" w:hAnsi="Times" w:cs="Times New Roman"/>
          <w:sz w:val="20"/>
          <w:szCs w:val="20"/>
        </w:rPr>
        <w:t xml:space="preserve"> with other CNS depressants, or if </w:t>
      </w:r>
      <w:proofErr w:type="spellStart"/>
      <w:r w:rsidRPr="007A4F35">
        <w:rPr>
          <w:rFonts w:ascii="Times" w:hAnsi="Times" w:cs="Times New Roman"/>
          <w:sz w:val="20"/>
          <w:szCs w:val="20"/>
        </w:rPr>
        <w:t>coadministered</w:t>
      </w:r>
      <w:proofErr w:type="spellEnd"/>
      <w:r w:rsidRPr="007A4F35">
        <w:rPr>
          <w:rFonts w:ascii="Times" w:hAnsi="Times" w:cs="Times New Roman"/>
          <w:sz w:val="20"/>
          <w:szCs w:val="20"/>
        </w:rPr>
        <w:t xml:space="preserve"> with other drugs that increase </w:t>
      </w:r>
      <w:proofErr w:type="spellStart"/>
      <w:r w:rsidRPr="007A4F35">
        <w:rPr>
          <w:rFonts w:ascii="Times" w:hAnsi="Times" w:cs="Times New Roman"/>
          <w:sz w:val="20"/>
          <w:szCs w:val="20"/>
        </w:rPr>
        <w:t>suvorexant</w:t>
      </w:r>
      <w:proofErr w:type="spellEnd"/>
      <w:r w:rsidRPr="007A4F35">
        <w:rPr>
          <w:rFonts w:ascii="Times" w:hAnsi="Times" w:cs="Times New Roman"/>
          <w:sz w:val="20"/>
          <w:szCs w:val="20"/>
        </w:rPr>
        <w:t xml:space="preserve"> blood levels</w:t>
      </w:r>
    </w:p>
    <w:p w14:paraId="6289C48E" w14:textId="77777777" w:rsidR="007A4F35" w:rsidRPr="007A4F35" w:rsidRDefault="007A4F35" w:rsidP="00FC7C2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7A4F35">
        <w:rPr>
          <w:rFonts w:ascii="Times" w:hAnsi="Times" w:cs="Times New Roman"/>
          <w:sz w:val="20"/>
          <w:szCs w:val="20"/>
        </w:rPr>
        <w:t>Caution patients taking 20 mg to refrain from next-day driving and other activities requiring full mental alertness</w:t>
      </w:r>
    </w:p>
    <w:p w14:paraId="5A465BCB" w14:textId="77777777" w:rsidR="007A4F35" w:rsidRPr="007A4F35" w:rsidRDefault="007A4F35" w:rsidP="00FC7C2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7A4F35">
        <w:rPr>
          <w:rFonts w:ascii="Times" w:hAnsi="Times" w:cs="Times New Roman"/>
          <w:sz w:val="20"/>
          <w:szCs w:val="20"/>
        </w:rPr>
        <w:t>Reevaluate patients for comorbid conditions if insomnia persists after 7-10 days of treatment</w:t>
      </w:r>
    </w:p>
    <w:p w14:paraId="583C5D47" w14:textId="77777777" w:rsidR="007A4F35" w:rsidRPr="007A4F35" w:rsidRDefault="007A4F35" w:rsidP="00FC7C2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7A4F35">
        <w:rPr>
          <w:rFonts w:ascii="Times" w:hAnsi="Times" w:cs="Times New Roman"/>
          <w:sz w:val="20"/>
          <w:szCs w:val="20"/>
        </w:rPr>
        <w:t>Cognitive and behavioral changes (</w:t>
      </w:r>
      <w:proofErr w:type="spellStart"/>
      <w:r w:rsidRPr="007A4F35">
        <w:rPr>
          <w:rFonts w:ascii="Times" w:hAnsi="Times" w:cs="Times New Roman"/>
          <w:sz w:val="20"/>
          <w:szCs w:val="20"/>
        </w:rPr>
        <w:t>eg</w:t>
      </w:r>
      <w:proofErr w:type="spellEnd"/>
      <w:r w:rsidRPr="007A4F35">
        <w:rPr>
          <w:rFonts w:ascii="Times" w:hAnsi="Times" w:cs="Times New Roman"/>
          <w:sz w:val="20"/>
          <w:szCs w:val="20"/>
        </w:rPr>
        <w:t>, amnesia, anxiety, hallucinations, and other neuropsychiatric symptoms) reported with hypnotics</w:t>
      </w:r>
      <w:proofErr w:type="gramStart"/>
      <w:r w:rsidRPr="007A4F35">
        <w:rPr>
          <w:rFonts w:ascii="Times" w:hAnsi="Times" w:cs="Times New Roman"/>
          <w:sz w:val="20"/>
          <w:szCs w:val="20"/>
        </w:rPr>
        <w:t>;</w:t>
      </w:r>
      <w:proofErr w:type="gramEnd"/>
      <w:r w:rsidRPr="007A4F35">
        <w:rPr>
          <w:rFonts w:ascii="Times" w:hAnsi="Times" w:cs="Times New Roman"/>
          <w:sz w:val="20"/>
          <w:szCs w:val="20"/>
        </w:rPr>
        <w:t xml:space="preserve"> “sleep driving” and other complex behaviors (</w:t>
      </w:r>
      <w:proofErr w:type="spellStart"/>
      <w:r w:rsidRPr="007A4F35">
        <w:rPr>
          <w:rFonts w:ascii="Times" w:hAnsi="Times" w:cs="Times New Roman"/>
          <w:sz w:val="20"/>
          <w:szCs w:val="20"/>
        </w:rPr>
        <w:t>eg</w:t>
      </w:r>
      <w:proofErr w:type="spellEnd"/>
      <w:r w:rsidRPr="007A4F35">
        <w:rPr>
          <w:rFonts w:ascii="Times" w:hAnsi="Times" w:cs="Times New Roman"/>
          <w:sz w:val="20"/>
          <w:szCs w:val="20"/>
        </w:rPr>
        <w:t xml:space="preserve">, preparing and eating food, making phone calls, or having sex), with amnesia for the event, have been reported </w:t>
      </w:r>
    </w:p>
    <w:p w14:paraId="1ED3412A" w14:textId="77777777" w:rsidR="007A4F35" w:rsidRPr="007A4F35" w:rsidRDefault="007A4F35" w:rsidP="00FC7C2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7A4F35">
        <w:rPr>
          <w:rFonts w:ascii="Times" w:hAnsi="Times" w:cs="Times New Roman"/>
          <w:sz w:val="20"/>
          <w:szCs w:val="20"/>
        </w:rPr>
        <w:t>The use of alcohol and other CNS depressants may increase the risk of cognitive changes listed above; discontinuation should be strongly considered</w:t>
      </w:r>
    </w:p>
    <w:p w14:paraId="2977AFF7" w14:textId="77777777" w:rsidR="007A4F35" w:rsidRPr="007A4F35" w:rsidRDefault="007A4F35" w:rsidP="00FC7C2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7A4F35">
        <w:rPr>
          <w:rFonts w:ascii="Times" w:hAnsi="Times" w:cs="Times New Roman"/>
          <w:sz w:val="20"/>
          <w:szCs w:val="20"/>
        </w:rPr>
        <w:t xml:space="preserve">Dose-dependent increase in suicidal ideation was observed in patients taking </w:t>
      </w:r>
      <w:proofErr w:type="spellStart"/>
      <w:r w:rsidRPr="007A4F35">
        <w:rPr>
          <w:rFonts w:ascii="Times" w:hAnsi="Times" w:cs="Times New Roman"/>
          <w:sz w:val="20"/>
          <w:szCs w:val="20"/>
        </w:rPr>
        <w:t>suvorexant</w:t>
      </w:r>
      <w:proofErr w:type="spellEnd"/>
      <w:r w:rsidRPr="007A4F35">
        <w:rPr>
          <w:rFonts w:ascii="Times" w:hAnsi="Times" w:cs="Times New Roman"/>
          <w:sz w:val="20"/>
          <w:szCs w:val="20"/>
        </w:rPr>
        <w:t>, as assessed by questionnaire; immediately evaluate patients with suicidal ideation or any new-onset behavioral changes; worsening depression or suicidal thinking, thoughts, and actions have been reported with the use of sedative-hypnotic</w:t>
      </w:r>
    </w:p>
    <w:p w14:paraId="6FA66A0C" w14:textId="77777777" w:rsidR="007A4F35" w:rsidRPr="007A4F35" w:rsidRDefault="007A4F35" w:rsidP="00FC7C2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7A4F35">
        <w:rPr>
          <w:rFonts w:ascii="Times" w:hAnsi="Times" w:cs="Times New Roman"/>
          <w:sz w:val="20"/>
          <w:szCs w:val="20"/>
        </w:rPr>
        <w:t>Consider effect on respiratory function</w:t>
      </w:r>
    </w:p>
    <w:p w14:paraId="5E3F4DF6" w14:textId="77777777" w:rsidR="007A4F35" w:rsidRPr="007A4F35" w:rsidRDefault="007A4F35" w:rsidP="00FC7C2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7A4F35">
        <w:rPr>
          <w:rFonts w:ascii="Times" w:hAnsi="Times" w:cs="Times New Roman"/>
          <w:sz w:val="20"/>
          <w:szCs w:val="20"/>
        </w:rPr>
        <w:t>Risk of sleep paralysis, hypnagogic/hypnopompic hallucinations, and cataplexy-like symptoms increases with increasing doses</w:t>
      </w:r>
    </w:p>
    <w:p w14:paraId="3D9EBD18" w14:textId="77777777" w:rsidR="007A4F35" w:rsidRPr="007A4F35" w:rsidRDefault="007A4F35" w:rsidP="00FC7C2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7A4F35">
        <w:rPr>
          <w:rFonts w:ascii="Times" w:hAnsi="Times" w:cs="Times New Roman"/>
          <w:sz w:val="20"/>
          <w:szCs w:val="20"/>
        </w:rPr>
        <w:t>Not recommended for patients with severe hepatic impairment or those taking a strong CYP3A inhibitor</w:t>
      </w:r>
    </w:p>
    <w:p w14:paraId="0DC91CAF" w14:textId="77777777" w:rsidR="007A4F35" w:rsidRDefault="007A4F35">
      <w:r>
        <w:t>Interactions</w:t>
      </w:r>
    </w:p>
    <w:p w14:paraId="775E2CAE" w14:textId="77777777" w:rsidR="007A4F35" w:rsidRDefault="007A4F35" w:rsidP="007A4F35">
      <w:pPr>
        <w:pStyle w:val="Heading4"/>
        <w:spacing w:before="2" w:after="2"/>
      </w:pPr>
      <w:r>
        <w:t>Serious - Use Alternative (35)</w:t>
      </w:r>
    </w:p>
    <w:p w14:paraId="72E4F782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atazanavir</w:t>
      </w:r>
      <w:proofErr w:type="spellEnd"/>
      <w:proofErr w:type="gramEnd"/>
    </w:p>
    <w:p w14:paraId="54F8306F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boceprevir</w:t>
      </w:r>
      <w:proofErr w:type="spellEnd"/>
      <w:proofErr w:type="gramEnd"/>
    </w:p>
    <w:p w14:paraId="5066F60E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gramStart"/>
      <w:r>
        <w:t>clarithromycin</w:t>
      </w:r>
      <w:proofErr w:type="gramEnd"/>
    </w:p>
    <w:p w14:paraId="18FA47DD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conivaptan</w:t>
      </w:r>
      <w:proofErr w:type="spellEnd"/>
      <w:proofErr w:type="gramEnd"/>
    </w:p>
    <w:p w14:paraId="54A3956B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darunavir</w:t>
      </w:r>
      <w:proofErr w:type="spellEnd"/>
      <w:proofErr w:type="gramEnd"/>
    </w:p>
    <w:p w14:paraId="22A80330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delavirdine</w:t>
      </w:r>
      <w:proofErr w:type="spellEnd"/>
      <w:proofErr w:type="gramEnd"/>
    </w:p>
    <w:p w14:paraId="228F0FB2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edoxaban</w:t>
      </w:r>
      <w:proofErr w:type="spellEnd"/>
      <w:proofErr w:type="gramEnd"/>
    </w:p>
    <w:p w14:paraId="6559EF89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efavirenz</w:t>
      </w:r>
      <w:proofErr w:type="spellEnd"/>
      <w:proofErr w:type="gramEnd"/>
    </w:p>
    <w:p w14:paraId="46474CBC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lastRenderedPageBreak/>
        <w:t>elvitegravir</w:t>
      </w:r>
      <w:proofErr w:type="spellEnd"/>
      <w:proofErr w:type="gramEnd"/>
      <w:r>
        <w:t>/</w:t>
      </w:r>
      <w:proofErr w:type="spellStart"/>
      <w:r>
        <w:t>cobicistat</w:t>
      </w:r>
      <w:proofErr w:type="spellEnd"/>
      <w:r>
        <w:t>/</w:t>
      </w:r>
      <w:proofErr w:type="spellStart"/>
      <w:r>
        <w:t>emtricitabine</w:t>
      </w:r>
      <w:proofErr w:type="spellEnd"/>
      <w:r>
        <w:t>/</w:t>
      </w:r>
      <w:proofErr w:type="spellStart"/>
      <w:r>
        <w:t>tenofovir</w:t>
      </w:r>
      <w:proofErr w:type="spellEnd"/>
      <w:r>
        <w:t xml:space="preserve"> </w:t>
      </w:r>
      <w:proofErr w:type="spellStart"/>
      <w:r>
        <w:t>df</w:t>
      </w:r>
      <w:proofErr w:type="spellEnd"/>
    </w:p>
    <w:p w14:paraId="3857ACB4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gramStart"/>
      <w:r>
        <w:t>fentanyl</w:t>
      </w:r>
      <w:proofErr w:type="gramEnd"/>
    </w:p>
    <w:p w14:paraId="16893828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gramStart"/>
      <w:r>
        <w:t>fentanyl</w:t>
      </w:r>
      <w:proofErr w:type="gramEnd"/>
      <w:r>
        <w:t xml:space="preserve"> intranasal</w:t>
      </w:r>
    </w:p>
    <w:p w14:paraId="293C03F1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gramStart"/>
      <w:r>
        <w:t>fentanyl</w:t>
      </w:r>
      <w:proofErr w:type="gramEnd"/>
      <w:r>
        <w:t xml:space="preserve"> </w:t>
      </w:r>
      <w:proofErr w:type="spellStart"/>
      <w:r>
        <w:t>iontophoretic</w:t>
      </w:r>
      <w:proofErr w:type="spellEnd"/>
      <w:r>
        <w:t xml:space="preserve"> transdermal system</w:t>
      </w:r>
    </w:p>
    <w:p w14:paraId="7E6FEADF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gramStart"/>
      <w:r>
        <w:t>fentanyl</w:t>
      </w:r>
      <w:proofErr w:type="gramEnd"/>
      <w:r>
        <w:t xml:space="preserve"> transdermal</w:t>
      </w:r>
    </w:p>
    <w:p w14:paraId="2692614D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gramStart"/>
      <w:r>
        <w:t>fentanyl</w:t>
      </w:r>
      <w:proofErr w:type="gramEnd"/>
      <w:r>
        <w:t xml:space="preserve"> </w:t>
      </w:r>
      <w:proofErr w:type="spellStart"/>
      <w:r>
        <w:t>transmucosal</w:t>
      </w:r>
      <w:proofErr w:type="spellEnd"/>
    </w:p>
    <w:p w14:paraId="58AB9D37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fosamprenavir</w:t>
      </w:r>
      <w:proofErr w:type="spellEnd"/>
      <w:proofErr w:type="gramEnd"/>
    </w:p>
    <w:p w14:paraId="4ABB2371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gramStart"/>
      <w:r>
        <w:t>grapefruit</w:t>
      </w:r>
      <w:proofErr w:type="gramEnd"/>
    </w:p>
    <w:p w14:paraId="084B8570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idelalisib</w:t>
      </w:r>
      <w:proofErr w:type="spellEnd"/>
      <w:proofErr w:type="gramEnd"/>
    </w:p>
    <w:p w14:paraId="544AD5EE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imatinib</w:t>
      </w:r>
      <w:proofErr w:type="spellEnd"/>
      <w:proofErr w:type="gramEnd"/>
    </w:p>
    <w:p w14:paraId="55FDE6CC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indinavir</w:t>
      </w:r>
      <w:proofErr w:type="spellEnd"/>
      <w:proofErr w:type="gramEnd"/>
    </w:p>
    <w:p w14:paraId="088C0A10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gramStart"/>
      <w:r>
        <w:t>isoniazid</w:t>
      </w:r>
      <w:proofErr w:type="gramEnd"/>
    </w:p>
    <w:p w14:paraId="7F6AB524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itraconazole</w:t>
      </w:r>
      <w:proofErr w:type="spellEnd"/>
      <w:proofErr w:type="gramEnd"/>
    </w:p>
    <w:p w14:paraId="3BB42229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gramStart"/>
      <w:r>
        <w:t>ketoconazole</w:t>
      </w:r>
      <w:proofErr w:type="gramEnd"/>
    </w:p>
    <w:p w14:paraId="088F50F2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lopinavir</w:t>
      </w:r>
      <w:proofErr w:type="spellEnd"/>
      <w:proofErr w:type="gramEnd"/>
    </w:p>
    <w:p w14:paraId="7D21036A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nefazodone</w:t>
      </w:r>
      <w:proofErr w:type="spellEnd"/>
      <w:proofErr w:type="gramEnd"/>
    </w:p>
    <w:p w14:paraId="768CFFDA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nelfinavir</w:t>
      </w:r>
      <w:proofErr w:type="spellEnd"/>
      <w:proofErr w:type="gramEnd"/>
    </w:p>
    <w:p w14:paraId="1A404243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nicardipine</w:t>
      </w:r>
      <w:proofErr w:type="spellEnd"/>
      <w:proofErr w:type="gramEnd"/>
    </w:p>
    <w:p w14:paraId="2E3AC5C1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posaconazole</w:t>
      </w:r>
      <w:proofErr w:type="spellEnd"/>
      <w:proofErr w:type="gramEnd"/>
    </w:p>
    <w:p w14:paraId="1FC1468C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gramStart"/>
      <w:r>
        <w:t>quinidine</w:t>
      </w:r>
      <w:proofErr w:type="gramEnd"/>
    </w:p>
    <w:p w14:paraId="54BC1CA2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gramStart"/>
      <w:r>
        <w:t>ritonavir</w:t>
      </w:r>
      <w:proofErr w:type="gramEnd"/>
    </w:p>
    <w:p w14:paraId="4FA36065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saquinavir</w:t>
      </w:r>
      <w:proofErr w:type="spellEnd"/>
      <w:proofErr w:type="gramEnd"/>
    </w:p>
    <w:p w14:paraId="49B5F1F6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telithromycin</w:t>
      </w:r>
      <w:proofErr w:type="spellEnd"/>
      <w:proofErr w:type="gramEnd"/>
    </w:p>
    <w:p w14:paraId="64103A17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tipranavir</w:t>
      </w:r>
      <w:proofErr w:type="spellEnd"/>
      <w:proofErr w:type="gramEnd"/>
    </w:p>
    <w:p w14:paraId="5D916862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gramStart"/>
      <w:r>
        <w:t>valerian</w:t>
      </w:r>
      <w:proofErr w:type="gramEnd"/>
    </w:p>
    <w:p w14:paraId="2E5E6440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venetoclax</w:t>
      </w:r>
      <w:proofErr w:type="spellEnd"/>
      <w:proofErr w:type="gramEnd"/>
    </w:p>
    <w:p w14:paraId="7638AD42" w14:textId="77777777" w:rsidR="007A4F35" w:rsidRDefault="007A4F35" w:rsidP="00FC7C2A">
      <w:pPr>
        <w:numPr>
          <w:ilvl w:val="0"/>
          <w:numId w:val="1"/>
        </w:numPr>
        <w:spacing w:beforeLines="1" w:before="2" w:afterLines="1" w:after="2"/>
      </w:pPr>
      <w:proofErr w:type="spellStart"/>
      <w:proofErr w:type="gramStart"/>
      <w:r>
        <w:t>voriconazole</w:t>
      </w:r>
      <w:proofErr w:type="spellEnd"/>
      <w:proofErr w:type="gramEnd"/>
    </w:p>
    <w:p w14:paraId="775BBE26" w14:textId="77777777" w:rsidR="007A4F35" w:rsidRDefault="007A4F35" w:rsidP="007A4F35">
      <w:pPr>
        <w:pStyle w:val="Heading3"/>
        <w:spacing w:before="2" w:after="2"/>
      </w:pPr>
      <w:r>
        <w:t>Mechanism of Action</w:t>
      </w:r>
    </w:p>
    <w:p w14:paraId="159ABDB4" w14:textId="77777777" w:rsidR="007A4F35" w:rsidRDefault="007A4F35" w:rsidP="007A4F35">
      <w:pPr>
        <w:pStyle w:val="NormalWeb"/>
        <w:spacing w:before="2" w:after="2"/>
      </w:pPr>
      <w:proofErr w:type="spellStart"/>
      <w:r>
        <w:t>Orexin</w:t>
      </w:r>
      <w:proofErr w:type="spellEnd"/>
      <w:r>
        <w:t xml:space="preserve"> receptor antagonist; </w:t>
      </w:r>
      <w:proofErr w:type="spellStart"/>
      <w:r>
        <w:t>orexin</w:t>
      </w:r>
      <w:proofErr w:type="spellEnd"/>
      <w:r>
        <w:t xml:space="preserve">, also called </w:t>
      </w:r>
      <w:proofErr w:type="spellStart"/>
      <w:r>
        <w:t>hypocretin</w:t>
      </w:r>
      <w:proofErr w:type="spellEnd"/>
      <w:r>
        <w:t>, is a neurotransmitter that regulates arousal, wakefulness, and appetite</w:t>
      </w:r>
    </w:p>
    <w:p w14:paraId="6C6C6CA4" w14:textId="77777777" w:rsidR="007A4F35" w:rsidRDefault="007A4F35" w:rsidP="007A4F35">
      <w:pPr>
        <w:pStyle w:val="NormalWeb"/>
        <w:spacing w:before="2" w:after="2"/>
      </w:pPr>
      <w:r>
        <w:t xml:space="preserve">Blocking the binding of wake-promoting neuropeptides </w:t>
      </w:r>
      <w:proofErr w:type="spellStart"/>
      <w:r>
        <w:t>orexin</w:t>
      </w:r>
      <w:proofErr w:type="spellEnd"/>
      <w:r>
        <w:t xml:space="preserve"> A and </w:t>
      </w:r>
      <w:proofErr w:type="spellStart"/>
      <w:r>
        <w:t>orexin</w:t>
      </w:r>
      <w:proofErr w:type="spellEnd"/>
      <w:r>
        <w:t xml:space="preserve"> B to receptors OX1R and OX2R is thought to suppress wake drive</w:t>
      </w:r>
    </w:p>
    <w:p w14:paraId="1690D002" w14:textId="77777777" w:rsidR="007A4F35" w:rsidRDefault="007A4F35" w:rsidP="007A4F35">
      <w:pPr>
        <w:pStyle w:val="Heading3"/>
        <w:spacing w:before="2" w:after="2"/>
      </w:pPr>
      <w:r>
        <w:t>Absorption</w:t>
      </w:r>
    </w:p>
    <w:p w14:paraId="4C889D17" w14:textId="77777777" w:rsidR="007A4F35" w:rsidRDefault="007A4F35" w:rsidP="007A4F35">
      <w:pPr>
        <w:pStyle w:val="NormalWeb"/>
        <w:spacing w:before="2" w:after="2"/>
      </w:pPr>
      <w:r>
        <w:t>Bioavailability: 82%</w:t>
      </w:r>
    </w:p>
    <w:p w14:paraId="2FFF5652" w14:textId="77777777" w:rsidR="007A4F35" w:rsidRDefault="007A4F35" w:rsidP="007A4F35">
      <w:pPr>
        <w:pStyle w:val="NormalWeb"/>
        <w:spacing w:before="2" w:after="2"/>
      </w:pPr>
      <w:r>
        <w:t xml:space="preserve">Peak plasma time: 2 </w:t>
      </w:r>
      <w:proofErr w:type="spellStart"/>
      <w:r>
        <w:t>hr</w:t>
      </w:r>
      <w:proofErr w:type="spellEnd"/>
      <w:r>
        <w:t xml:space="preserve"> (range 30 min to 6 </w:t>
      </w:r>
      <w:proofErr w:type="spellStart"/>
      <w:r>
        <w:t>hr</w:t>
      </w:r>
      <w:proofErr w:type="spellEnd"/>
      <w:r>
        <w:t>)</w:t>
      </w:r>
    </w:p>
    <w:p w14:paraId="719F4EE5" w14:textId="77777777" w:rsidR="007A4F35" w:rsidRDefault="007A4F35" w:rsidP="007A4F35">
      <w:pPr>
        <w:pStyle w:val="NormalWeb"/>
        <w:spacing w:before="2" w:after="2"/>
      </w:pPr>
      <w:r>
        <w:t xml:space="preserve">Taking after a high-fat meal delays peak concentration by ~1.5 </w:t>
      </w:r>
      <w:proofErr w:type="spellStart"/>
      <w:r>
        <w:t>hr</w:t>
      </w:r>
      <w:proofErr w:type="spellEnd"/>
    </w:p>
    <w:p w14:paraId="07A28F7F" w14:textId="77777777" w:rsidR="007A4F35" w:rsidRDefault="007A4F35" w:rsidP="007A4F35">
      <w:pPr>
        <w:pStyle w:val="Heading3"/>
        <w:spacing w:before="2" w:after="2"/>
      </w:pPr>
      <w:r>
        <w:t>Distribution</w:t>
      </w:r>
    </w:p>
    <w:p w14:paraId="0267A89F" w14:textId="77777777" w:rsidR="007A4F35" w:rsidRDefault="007A4F35" w:rsidP="007A4F35">
      <w:pPr>
        <w:pStyle w:val="NormalWeb"/>
        <w:spacing w:before="2" w:after="2"/>
      </w:pPr>
      <w:r>
        <w:t>Protein bound: &gt;99% to human serum albumin and α1-acid glycoprotein</w:t>
      </w:r>
    </w:p>
    <w:p w14:paraId="5DBC990D" w14:textId="77777777" w:rsidR="007A4F35" w:rsidRDefault="007A4F35" w:rsidP="007A4F35">
      <w:pPr>
        <w:pStyle w:val="NormalWeb"/>
        <w:spacing w:before="2" w:after="2"/>
      </w:pPr>
      <w:r>
        <w:t>Not preferentially distribute into RBCs</w:t>
      </w:r>
    </w:p>
    <w:p w14:paraId="274877E5" w14:textId="77777777" w:rsidR="007A4F35" w:rsidRDefault="007A4F35" w:rsidP="007A4F35">
      <w:pPr>
        <w:pStyle w:val="NormalWeb"/>
        <w:spacing w:before="2" w:after="2"/>
      </w:pPr>
      <w:proofErr w:type="spellStart"/>
      <w:r>
        <w:t>Vd</w:t>
      </w:r>
      <w:proofErr w:type="spellEnd"/>
      <w:r>
        <w:t>: 49 L</w:t>
      </w:r>
    </w:p>
    <w:p w14:paraId="222C5373" w14:textId="77777777" w:rsidR="007A4F35" w:rsidRDefault="007A4F35" w:rsidP="007A4F35">
      <w:pPr>
        <w:pStyle w:val="Heading3"/>
        <w:spacing w:before="2" w:after="2"/>
      </w:pPr>
      <w:r>
        <w:t>Metabolism</w:t>
      </w:r>
    </w:p>
    <w:p w14:paraId="198A32A7" w14:textId="77777777" w:rsidR="007A4F35" w:rsidRDefault="007A4F35" w:rsidP="007A4F35">
      <w:pPr>
        <w:pStyle w:val="NormalWeb"/>
        <w:spacing w:before="2" w:after="2"/>
      </w:pPr>
      <w:r>
        <w:t>Mainly eliminated by metabolism, primarily by CYP3A with a minor contribution from CYP2C19</w:t>
      </w:r>
    </w:p>
    <w:p w14:paraId="65C5FC45" w14:textId="77777777" w:rsidR="007A4F35" w:rsidRDefault="007A4F35" w:rsidP="007A4F35">
      <w:pPr>
        <w:pStyle w:val="NormalWeb"/>
        <w:spacing w:before="2" w:after="2"/>
      </w:pPr>
      <w:r>
        <w:t xml:space="preserve">Metabolite: </w:t>
      </w:r>
      <w:proofErr w:type="spellStart"/>
      <w:r>
        <w:t>hydroxy-suvorexant</w:t>
      </w:r>
      <w:proofErr w:type="spellEnd"/>
      <w:r>
        <w:t xml:space="preserve"> (not active)</w:t>
      </w:r>
    </w:p>
    <w:p w14:paraId="776BC778" w14:textId="77777777" w:rsidR="007A4F35" w:rsidRDefault="007A4F35" w:rsidP="007A4F35">
      <w:pPr>
        <w:pStyle w:val="Heading3"/>
        <w:spacing w:before="2" w:after="2"/>
      </w:pPr>
      <w:r>
        <w:t>Elimination</w:t>
      </w:r>
    </w:p>
    <w:p w14:paraId="7CD02FB7" w14:textId="77777777" w:rsidR="007A4F35" w:rsidRDefault="007A4F35" w:rsidP="007A4F35">
      <w:pPr>
        <w:pStyle w:val="NormalWeb"/>
        <w:spacing w:before="2" w:after="2"/>
      </w:pPr>
      <w:r>
        <w:t xml:space="preserve">Half-life: ~12 </w:t>
      </w:r>
      <w:proofErr w:type="spellStart"/>
      <w:r>
        <w:t>hr</w:t>
      </w:r>
      <w:proofErr w:type="spellEnd"/>
    </w:p>
    <w:p w14:paraId="59C379B0" w14:textId="77777777" w:rsidR="0081652E" w:rsidRDefault="007A4F35" w:rsidP="0081652E">
      <w:pPr>
        <w:pStyle w:val="Heading2"/>
        <w:spacing w:before="2" w:after="2"/>
      </w:pPr>
      <w:r>
        <w:t xml:space="preserve">Excretion: 66% feces; 23% </w:t>
      </w:r>
      <w:proofErr w:type="spellStart"/>
      <w:r>
        <w:t>urine</w:t>
      </w:r>
      <w:r w:rsidR="0081652E">
        <w:t>Adverse</w:t>
      </w:r>
      <w:proofErr w:type="spellEnd"/>
      <w:r w:rsidR="0081652E">
        <w:t xml:space="preserve"> Effects</w:t>
      </w:r>
    </w:p>
    <w:p w14:paraId="3B2038AB" w14:textId="77777777" w:rsidR="0081652E" w:rsidRPr="0081652E" w:rsidRDefault="0081652E" w:rsidP="0081652E">
      <w:pPr>
        <w:rPr>
          <w:b/>
        </w:rPr>
      </w:pPr>
      <w:r w:rsidRPr="0081652E">
        <w:rPr>
          <w:b/>
        </w:rPr>
        <w:t>Side Effects</w:t>
      </w:r>
    </w:p>
    <w:p w14:paraId="5E2AC8E4" w14:textId="77777777" w:rsidR="0081652E" w:rsidRDefault="0081652E" w:rsidP="0081652E">
      <w:pPr>
        <w:pStyle w:val="Heading3"/>
        <w:spacing w:before="2" w:after="2"/>
      </w:pPr>
      <w:r>
        <w:t>1-10%</w:t>
      </w:r>
    </w:p>
    <w:p w14:paraId="2A69CBB0" w14:textId="77777777" w:rsidR="0081652E" w:rsidRDefault="0081652E" w:rsidP="0081652E">
      <w:pPr>
        <w:pStyle w:val="NormalWeb"/>
        <w:spacing w:before="2" w:after="2"/>
      </w:pPr>
      <w:r>
        <w:t>Somnolence, females (8%)</w:t>
      </w:r>
    </w:p>
    <w:p w14:paraId="37B7F841" w14:textId="77777777" w:rsidR="0081652E" w:rsidRDefault="0081652E" w:rsidP="0081652E">
      <w:pPr>
        <w:pStyle w:val="NormalWeb"/>
        <w:spacing w:before="2" w:after="2"/>
      </w:pPr>
      <w:r>
        <w:t>Somnolence (7%)</w:t>
      </w:r>
    </w:p>
    <w:p w14:paraId="27BB9CDF" w14:textId="77777777" w:rsidR="0081652E" w:rsidRDefault="0081652E" w:rsidP="0081652E">
      <w:pPr>
        <w:pStyle w:val="NormalWeb"/>
        <w:spacing w:before="2" w:after="2"/>
      </w:pPr>
      <w:r>
        <w:t>Headache (7%)</w:t>
      </w:r>
    </w:p>
    <w:p w14:paraId="637DE6E2" w14:textId="77777777" w:rsidR="0081652E" w:rsidRDefault="0081652E" w:rsidP="0081652E">
      <w:pPr>
        <w:pStyle w:val="NormalWeb"/>
        <w:spacing w:before="2" w:after="2"/>
      </w:pPr>
      <w:r>
        <w:t>Somnolence, males (3%)</w:t>
      </w:r>
    </w:p>
    <w:p w14:paraId="700F5E11" w14:textId="77777777" w:rsidR="0081652E" w:rsidRDefault="0081652E" w:rsidP="0081652E">
      <w:pPr>
        <w:pStyle w:val="NormalWeb"/>
        <w:spacing w:before="2" w:after="2"/>
      </w:pPr>
      <w:r>
        <w:t>Dizziness (3%)</w:t>
      </w:r>
    </w:p>
    <w:p w14:paraId="18989695" w14:textId="77777777" w:rsidR="0081652E" w:rsidRDefault="0081652E" w:rsidP="0081652E">
      <w:pPr>
        <w:pStyle w:val="NormalWeb"/>
        <w:spacing w:before="2" w:after="2"/>
      </w:pPr>
      <w:r>
        <w:t>Abnormal dreams (2%)</w:t>
      </w:r>
    </w:p>
    <w:p w14:paraId="30D594E4" w14:textId="77777777" w:rsidR="0081652E" w:rsidRDefault="0081652E" w:rsidP="0081652E">
      <w:pPr>
        <w:pStyle w:val="NormalWeb"/>
        <w:spacing w:before="2" w:after="2"/>
      </w:pPr>
      <w:r>
        <w:t>Cough (2%)</w:t>
      </w:r>
    </w:p>
    <w:p w14:paraId="0CBDC29A" w14:textId="77777777" w:rsidR="0081652E" w:rsidRDefault="0081652E" w:rsidP="0081652E">
      <w:pPr>
        <w:pStyle w:val="NormalWeb"/>
        <w:spacing w:before="2" w:after="2"/>
      </w:pPr>
      <w:r>
        <w:t>Diarrhea (2%)</w:t>
      </w:r>
    </w:p>
    <w:p w14:paraId="66DF4444" w14:textId="77777777" w:rsidR="0081652E" w:rsidRDefault="0081652E" w:rsidP="0081652E">
      <w:pPr>
        <w:pStyle w:val="NormalWeb"/>
        <w:spacing w:before="2" w:after="2"/>
      </w:pPr>
      <w:r>
        <w:t>Dry mouth (2%)</w:t>
      </w:r>
    </w:p>
    <w:p w14:paraId="1E4AD8FF" w14:textId="77777777" w:rsidR="0081652E" w:rsidRDefault="0081652E" w:rsidP="0081652E">
      <w:pPr>
        <w:pStyle w:val="NormalWeb"/>
        <w:spacing w:before="2" w:after="2"/>
      </w:pPr>
      <w:r>
        <w:t>Upper respiratory tract infection (2%)</w:t>
      </w:r>
    </w:p>
    <w:p w14:paraId="38735E84" w14:textId="77777777" w:rsidR="007A4F35" w:rsidRDefault="007A4F35" w:rsidP="007A4F35">
      <w:pPr>
        <w:pStyle w:val="NormalWeb"/>
        <w:spacing w:before="2" w:after="2"/>
      </w:pPr>
    </w:p>
    <w:p w14:paraId="3CFDCA6A" w14:textId="77777777" w:rsidR="008D4225" w:rsidRDefault="00A72D7D"/>
    <w:sectPr w:rsidR="008D4225" w:rsidSect="008D42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E3C6F"/>
    <w:multiLevelType w:val="multilevel"/>
    <w:tmpl w:val="3C7A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A4F35"/>
    <w:rsid w:val="007A4F35"/>
    <w:rsid w:val="0081652E"/>
    <w:rsid w:val="0093202B"/>
    <w:rsid w:val="00A72D7D"/>
    <w:rsid w:val="00FC7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CC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4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5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7A4F35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4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4F35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7A4F3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A4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16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A72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SDR18@aol.com" TargetMode="External"/><Relationship Id="rId7" Type="http://schemas.openxmlformats.org/officeDocument/2006/relationships/hyperlink" Target="http://www.sherispirtm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3379</Characters>
  <Application>Microsoft Macintosh Word</Application>
  <DocSecurity>0</DocSecurity>
  <Lines>28</Lines>
  <Paragraphs>7</Paragraphs>
  <ScaleCrop>false</ScaleCrop>
  <Company>Sheri Spirt, M.D.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Spirt</dc:creator>
  <cp:keywords/>
  <cp:lastModifiedBy>sheri Spirt</cp:lastModifiedBy>
  <cp:revision>4</cp:revision>
  <dcterms:created xsi:type="dcterms:W3CDTF">2016-10-24T20:26:00Z</dcterms:created>
  <dcterms:modified xsi:type="dcterms:W3CDTF">2017-01-01T22:52:00Z</dcterms:modified>
</cp:coreProperties>
</file>